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852" w:rsidRPr="00143ED1" w:rsidRDefault="00537852" w:rsidP="00537852">
      <w:pPr>
        <w:pStyle w:val="Heading1"/>
      </w:pPr>
      <w:bookmarkStart w:id="0" w:name="_Toc109663600"/>
      <w:r w:rsidRPr="00143ED1">
        <w:t>BAB I</w:t>
      </w:r>
      <w:bookmarkEnd w:id="0"/>
    </w:p>
    <w:p w:rsidR="00537852" w:rsidRPr="00143ED1" w:rsidRDefault="00537852" w:rsidP="00537852">
      <w:pPr>
        <w:pStyle w:val="Heading1"/>
      </w:pPr>
      <w:bookmarkStart w:id="1" w:name="_Toc109663601"/>
      <w:r w:rsidRPr="00143ED1">
        <w:t>PENDAHULUAN</w:t>
      </w:r>
      <w:bookmarkEnd w:id="1"/>
    </w:p>
    <w:p w:rsidR="00537852" w:rsidRPr="00143ED1" w:rsidRDefault="00537852" w:rsidP="00537852">
      <w:pPr>
        <w:pStyle w:val="Heading2"/>
      </w:pPr>
      <w:bookmarkStart w:id="2" w:name="_Toc109663602"/>
      <w:r w:rsidRPr="00143ED1">
        <w:t>Latar Belakang</w:t>
      </w:r>
      <w:bookmarkEnd w:id="2"/>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Perkembangan Teknologi zaman sekarang memberikan pengaruh yang cukup banyak dalam berbagai aspek kehidupan manusia, bukan hanya membantu manusia dalam bidang pekerjaan akan tetapi sudah menjadi kebutuhan yang tidak terlepas dari kehidupan sehari-hari manusia. Kemajuan teknologi atau globalisasi ini merupakan sesuatu yang tidak bisa dihindari dalam kehidupan kita karena akan terus berjalan seiring dengan perkembangan ilmu pengetahuan dan teknologi manusia itu sendiri, di era revolusi industri 4.0 ini manusia mau tidak mau “dipaksa” masuk dalam perkembangan teknologi. </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Revolusi Industri 4.0 telah secara fundamental mengubah cara orang berpikir, berinteraksi dan hidup. Era ini akan mendisrupsi berbagai aktivitas manusia dalam berbagai interaksi sosialnya </w:t>
      </w:r>
      <w:r w:rsidRPr="00143ED1">
        <w:rPr>
          <w:rFonts w:cs="Times New Roman"/>
        </w:rPr>
        <w:fldChar w:fldCharType="begin" w:fldLock="1"/>
      </w:r>
      <w:r w:rsidRPr="00143ED1">
        <w:rPr>
          <w:rFonts w:cs="Times New Roman"/>
        </w:rPr>
        <w:instrText>ADDIN CSL_CITATION {"citationItems":[{"id":"ITEM-1","itemData":{"DOI":"10.24198/focus.v2i2.26241","abstract":"Revolusi Industri 4.0 memberikan dampak besar bagi kehidupan generasi milenal dan juga mempengaruhi keberfungsian sosialnya di kehidupan nyata, banyak generasi milenial berjuang untuk mempertahankan eksistensinya di media sosial maka artikel ini bertujuan untuk menganalisa Potret kehidupan generasi milenial pada era revolusi industry 4.0. Metode penelitian menggunakan pendekatan kualitatif beradasar kepada analisis study literatur yang terkait Generasi Milenial dan Revolusi Industri 4.0. Hasil penelitian menejlaskan bahwa generasi milenial secara keberfungsian sosial memiliki kekuatan di bidang teknologi penelitian ini menyebutnya C3 Creative, Confident, Connected. Akan tetapi dalam prosesnya tidak semua generasi milenial mampu beradaptasi dengan perkembangan teknologi, krisis kepercayaan diri dan depresi menjadi masalah-masalah psikososial nya.","author":[{"dropping-particle":"","family":"W","given":"R Willya Achmad","non-dropping-particle":"","parse-names":false,"suffix":""},{"dropping-particle":"","family":"Poluakan","given":"Marcelino Vincentius","non-dropping-particle":"","parse-names":false,"suffix":""},{"dropping-particle":"","family":"Dikayuana","given":"Didin","non-dropping-particle":"","parse-names":false,"suffix":""},{"dropping-particle":"","family":"Wibowo","given":"Herry","non-dropping-particle":"","parse-names":false,"suffix":""},{"dropping-particle":"","family":"Raharjo","given":"Santoso Tri","non-dropping-particle":"","parse-names":false,"suffix":""}],"container-title":"Focus : Jurnal Pekerjaan Sosial","id":"ITEM-1","issue":"2","issued":{"date-parts":[["2019"]]},"page":"187-189","title":"Potret Generasi Milenial Pada Era Revolusi Industri 4.0","type":"article-journal","volume":"2"},"uris":["http://www.mendeley.com/documents/?uuid=62c4e696-ec05-421a-b79b-7e207647c8b6"]}],"mendeley":{"formattedCitation":"(W et al., 2019)","manualFormatting":"(Achmad et al., 2019)","plainTextFormattedCitation":"(W et al., 2019)","previouslyFormattedCitation":"(W et al., 2019)"},"properties":{"noteIndex":0},"schema":"https://github.com/citation-style-language/schema/raw/master/csl-citation.json"}</w:instrText>
      </w:r>
      <w:r w:rsidRPr="00143ED1">
        <w:rPr>
          <w:rFonts w:cs="Times New Roman"/>
        </w:rPr>
        <w:fldChar w:fldCharType="separate"/>
      </w:r>
      <w:r w:rsidRPr="00143ED1">
        <w:rPr>
          <w:rFonts w:cs="Times New Roman"/>
        </w:rPr>
        <w:t>(Achmad et al., 2019)</w:t>
      </w:r>
      <w:r w:rsidRPr="00143ED1">
        <w:rPr>
          <w:rFonts w:cs="Times New Roman"/>
        </w:rPr>
        <w:fldChar w:fldCharType="end"/>
      </w:r>
      <w:r w:rsidRPr="00143ED1">
        <w:rPr>
          <w:rFonts w:cs="Times New Roman"/>
        </w:rPr>
        <w:t xml:space="preserve">. Dalam arti lain, era terjadinya inovasi yang menghasilkan perubahan berskala besar secara fundamental sehingga mengubah sistem, tatanan, dan pemahaman konvensional masyarakat menjadi serba digital </w:t>
      </w:r>
      <w:r w:rsidRPr="00143ED1">
        <w:rPr>
          <w:rFonts w:cs="Times New Roman"/>
        </w:rPr>
        <w:fldChar w:fldCharType="begin" w:fldLock="1"/>
      </w:r>
      <w:r w:rsidRPr="00143ED1">
        <w:rPr>
          <w:rFonts w:cs="Times New Roman"/>
        </w:rPr>
        <w:instrText>ADDIN CSL_CITATION {"citationItems":[{"id":"ITEM-1","itemData":{"abstract":"Kehadiran revolusi industri 4.0 memang menghadirkan lini usaha baru, lapangan kerja baru, profesi baru yang tak terpikirkan sebelumnya. Namun pada saat yang sama ada pula lini usaha yang terancam, profesi dan lapangan kerja yang tergantikan oleh mesin kecerdasan buatan dan robot. Revolusi digital dan era disrupsi teknologi adalah istilah lain dari industri 4.0. Disebut revolusi digital karena terjadinya proliferasi komputer dan otomatisasi pencatatan di semua bidang. Industri 4.0 dikatakan era disrupsi teknologi karena otomatisasi dan konektivitas di sebuah bidang akan membuat pergerakan dunia industri dan persaingan kerja menjadi tidak linear. Salah satu karakteristik unik dari industri 4.0 adalah pengaplikasian kecerdasan buatan atau artificial intelligence (Tjandrawinata, 2016). Salah satu bentuk pengaplikasian tersebut adalah penggunaan robot untuk menggantikan tenaga manusia sehingga lebih murah, efektif, dan efisien. Industri 4.0 sebagai fase revolusi teknologi mengubah cara beraktifitas manusia dalam skala, ruang lingkup, kompleksitas, dan transformasi dari pengalaman hidup sebelumnya. Manusia bahkan akan hidup dalam ketidakpastian (uncertainty) global, oleh karena itu manusia harus memiliki kemampuan untuk memprediksi masa depan yang berubah sangat cepat. Tiap negara harus merespon perubahan tersebut secara terintegrasi dan komprehensif. Respon tersebut dengan melibatkan seluruh pemangku kepentingan politik global, mulai dari sektor publik, swasta, akademisi, hingga masyarakat sipil sehingga tantangan industri 4.0 dapat dikelola menjadi peluang. Kata","author":[{"dropping-particle":"","family":"Ghufron","given":"M.A","non-dropping-particle":"","parse-names":false,"suffix":""}],"container-title":"Seminar Nasional dan Diskusi Panel Multidisiplin Hasil Penelitian dan Pengabdian Kepada Masyarakat 2018","id":"ITEM-1","issue":"1","issued":{"date-parts":[["2018"]]},"page":"332-337","title":"Revolusi Industri 4.0: Tantangan, Peluang, Dan Solusi Bagi Dunia Pendidikan","type":"article-journal","volume":"1"},"uris":["http://www.mendeley.com/documents/?uuid=d69d1317-75a5-4af5-8867-1e8a95d7314a"]}],"mendeley":{"formattedCitation":"(Ghufron, 2018)","plainTextFormattedCitation":"(Ghufron, 2018)","previouslyFormattedCitation":"(Ghufron, 2018)"},"properties":{"noteIndex":0},"schema":"https://github.com/citation-style-language/schema/raw/master/csl-citation.json"}</w:instrText>
      </w:r>
      <w:r w:rsidRPr="00143ED1">
        <w:rPr>
          <w:rFonts w:cs="Times New Roman"/>
        </w:rPr>
        <w:fldChar w:fldCharType="separate"/>
      </w:r>
      <w:r w:rsidRPr="00143ED1">
        <w:rPr>
          <w:rFonts w:cs="Times New Roman"/>
        </w:rPr>
        <w:t>(Ghufron, 2018)</w:t>
      </w:r>
      <w:r w:rsidRPr="00143ED1">
        <w:rPr>
          <w:rFonts w:cs="Times New Roman"/>
        </w:rPr>
        <w:fldChar w:fldCharType="end"/>
      </w:r>
      <w:r w:rsidRPr="00143ED1">
        <w:rPr>
          <w:rFonts w:cs="Times New Roman"/>
        </w:rPr>
        <w:t>.</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Dampak teknologi mempunyai dua pengaruh, pertama pengaruh postif yaitu memberikan manusia kemudahan untuk melakukan interaksi, kemudahan dalam mencari informasi, sedangkan yang kedua pengaruh negatif, manusia akan menjadi seseorang yang berperilaku yang egois, serba instan dan interaksi terhadap lingkungan sekitar menjadi cukup buruk </w:t>
      </w:r>
      <w:r w:rsidRPr="00143ED1">
        <w:rPr>
          <w:rFonts w:cs="Times New Roman"/>
        </w:rPr>
        <w:fldChar w:fldCharType="begin" w:fldLock="1"/>
      </w:r>
      <w:r w:rsidRPr="00143ED1">
        <w:rPr>
          <w:rFonts w:cs="Times New Roman"/>
        </w:rPr>
        <w:instrText>ADDIN CSL_CITATION {"citationItems":[{"id":"ITEM-1","itemData":{"DOI":"10.1201/ebk1439811924-14","abstract":"Perkembangan teknologi informasi membawa sebuah perubahan dalam masyarakat. Lahirnya media sosial menjadikan pola perilaku masyarakat mengalami pergeseran baik budaya, etikan dan norma yang ada. Indonesia dengan jumlah penduduk yang besar dengan berbagai kultur suku, ras dan agama yang beraneka ragam memiliki banyak sekali potensi perubahan sosial. Dari berbagai kalangan dan usia hampir semua masyarakat Indonesia memiliki dan menggunakan media sosial sebagai salah satu sarana guna memperoleh dan menyampaikan informasi ke publik. Oleh sebab itu penelitian ini memiliki rumusan masalah sebagai berikut: apa pengertian media sosial, apa dampak media sosial terhadap masyarakat di Indonesia dan apa pengaruh media sosial terhadap perubahan sosial masyarakat di Indonesia. Metode penelitian yang digunakan adalah deskriptif. Penelitian deskriptif adalah salah satu jenis penelitian yang tujuannya untuk menyajikan gambaran lengkap / eksplorasi dan klarifikasi mengenai suatu fenomena atau kenyataan sosial. Media sosial adalah sebuah media online, dengan para penggunanya bisa dengan mudah berpartisipasi, berbagi, dan menciptakan isi meliputi blog, jejaring sosial, wiki, forum dan dunia virtual. Blog, jejaring sosial dan wiki merupakan bentuk media sosial yang paling umum digunakan oleh masyarakat di seluruh dunia. Dampak positif dari media sosial adalah memudahkan kita untuk berinteraksi dengan banyak orang, memperluas pergaulan, jarak dan waktu bukan lagi masalah, lebih mudah dalam mengekspresikan diri, penyebaran informasi dapat berlangsung secara cepat, biaya lebih murah. Sedangkan dampak negatif dari media sosial adalah menjauhkan orang-orang yang sudah dekat dan sebaliknya, interaksi secara tatap muka cenderung menurun, membuat orang-orang menjadi kecanduan terhadap internet, menimbulkan konflik, masalah privasi, rentan terhadap pengaruh buruk orang lain. Adanya media sosial telah mempengaruhi kehidupan sosial dalam masyarakat. Perubahan-perubahan dalam hubungan sosial (social relationships) atau sebagai perubahan terhadap keseimbangan (equilibrium) hubungan sosial dan segala bentuk perubahan-perubahan pada lembaga-lembaga kemasyarakatan didalam suatu masyarakat, yang mempengaruhi sistem sosialnya, termasuk didalamnya nilai-nilai, sikap dan pola perilaku diantara kelompok-kelompok dalam masyarakat. Perubahan sosial positif seperti kemudahan memperoleh dan menyampaikan informasi, memperoleh keuntungan secara sosial dan ekonomi. Sedangkan perubahan sosial yang cend…","author":[{"dropping-particle":"","family":"Cahyono","given":"Anang Sugeng","non-dropping-particle":"","parse-names":false,"suffix":""}],"container-title":"Publiciana","id":"ITEM-1","issue":"1","issued":{"date-parts":[["2016"]]},"page":"140-157","title":"Pengaruh Media Sosial terhadap Perubahan Sosial Masyarakat di Indonesia","type":"article-journal","volume":"9"},"uris":["http://www.mendeley.com/documents/?uuid=52d8815d-28c7-49c6-b536-943a5058cf12"]}],"mendeley":{"formattedCitation":"(Cahyono, 2016)","plainTextFormattedCitation":"(Cahyono, 2016)","previouslyFormattedCitation":"(Cahyono, 2016)"},"properties":{"noteIndex":0},"schema":"https://github.com/citation-style-language/schema/raw/master/csl-citation.json"}</w:instrText>
      </w:r>
      <w:r w:rsidRPr="00143ED1">
        <w:rPr>
          <w:rFonts w:cs="Times New Roman"/>
        </w:rPr>
        <w:fldChar w:fldCharType="separate"/>
      </w:r>
      <w:r w:rsidRPr="00143ED1">
        <w:rPr>
          <w:rFonts w:cs="Times New Roman"/>
        </w:rPr>
        <w:t>(Cahyono, 2016)</w:t>
      </w:r>
      <w:r w:rsidRPr="00143ED1">
        <w:rPr>
          <w:rFonts w:cs="Times New Roman"/>
        </w:rPr>
        <w:fldChar w:fldCharType="end"/>
      </w:r>
      <w:r w:rsidRPr="00143ED1">
        <w:rPr>
          <w:rFonts w:cs="Times New Roman"/>
        </w:rPr>
        <w:t xml:space="preserve">. </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Masyarakat digital/digital native atau biasa disebut generasi milenial menghabiskan hampir dari 79% waktunya untuk mengakses internet setiap </w:t>
      </w:r>
      <w:r w:rsidRPr="00143ED1">
        <w:rPr>
          <w:rFonts w:cs="Times New Roman"/>
        </w:rPr>
        <w:lastRenderedPageBreak/>
        <w:t xml:space="preserve">harinya, tujuannya bermacam-macam, baik itu untuk hiburan/hobi seperti mendengarkan musik, belanja online, mengobrol daring atau chatting, menjelajah situs untuk mendapatkan berbagai informasi, ataupun membaca melalui e-book </w:t>
      </w:r>
      <w:r w:rsidRPr="00143ED1">
        <w:rPr>
          <w:rFonts w:cs="Times New Roman"/>
        </w:rPr>
        <w:fldChar w:fldCharType="begin" w:fldLock="1"/>
      </w:r>
      <w:r w:rsidRPr="00143ED1">
        <w:rPr>
          <w:rFonts w:cs="Times New Roman"/>
        </w:rPr>
        <w:instrText>ADDIN CSL_CITATION {"citationItems":[{"id":"ITEM-1","itemData":{"DOI":"10.24002/jik.v15i1.1243","ISSN":"1829-6564","abstract":"Digital native menghabiskan 79% waktunya untuk mengakses internet setiap hari. Penelitian ini bertujuan memetakan penggunaan media sosial di kalangan digital native. Penelitian yang berlangsung enam bulan ini menggunakan metode kualitatif dan pendekatan studi kasus eksplanatori. Informan yang terlibat sebanyak 225 informan. Hasil penelitian ini terbagi ke dalam tiga domain, yaitu alasan penggunaan media sosial, tujuan menggunakan media sosial dalam keseharian, dan evaluasi diri penggunaan media sosial. Ketiga domain tersebut terintegrasikan secara komprehensif oleh digital native dalam mengolah konten informasi, menginterpretasi, dan mengevaluasi diri sebagai pengguna media sosial yang cerdas.","author":[{"dropping-particle":"","family":"Supratman","given":"Lucy Pujasari","non-dropping-particle":"","parse-names":false,"suffix":""}],"container-title":"Jurnal Ilmu Komunikasi","id":"ITEM-1","issue":"1","issued":{"date-parts":[["2018"]]},"page":"47-60","title":"Penggunaan Media Sosial oleh Digital Native","type":"article-journal","volume":"15"},"uris":["http://www.mendeley.com/documents/?uuid=68b90534-587f-4ab4-b3ec-5428a5e90696"]}],"mendeley":{"formattedCitation":"(Supratman, 2018)","plainTextFormattedCitation":"(Supratman, 2018)","previouslyFormattedCitation":"(Supratman, 2018)"},"properties":{"noteIndex":0},"schema":"https://github.com/citation-style-language/schema/raw/master/csl-citation.json"}</w:instrText>
      </w:r>
      <w:r w:rsidRPr="00143ED1">
        <w:rPr>
          <w:rFonts w:cs="Times New Roman"/>
        </w:rPr>
        <w:fldChar w:fldCharType="separate"/>
      </w:r>
      <w:r w:rsidRPr="00143ED1">
        <w:rPr>
          <w:rFonts w:cs="Times New Roman"/>
        </w:rPr>
        <w:t>(Supratman, 2018)</w:t>
      </w:r>
      <w:r w:rsidRPr="00143ED1">
        <w:rPr>
          <w:rFonts w:cs="Times New Roman"/>
        </w:rPr>
        <w:fldChar w:fldCharType="end"/>
      </w:r>
      <w:r w:rsidRPr="00143ED1">
        <w:rPr>
          <w:rFonts w:cs="Times New Roman"/>
        </w:rPr>
        <w:t>.</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Generasi Internet Amerika dibagi menjadi empat kelompok generasi. Pertama, </w:t>
      </w:r>
      <w:r w:rsidRPr="00143ED1">
        <w:rPr>
          <w:rFonts w:cs="Times New Roman"/>
          <w:i/>
          <w:iCs/>
        </w:rPr>
        <w:t>baby boom</w:t>
      </w:r>
      <w:r w:rsidRPr="00143ED1">
        <w:rPr>
          <w:rFonts w:cs="Times New Roman"/>
        </w:rPr>
        <w:t xml:space="preserve"> (Januari 1946-Desember 1964) berlangsung selama 19 tahun dan menghasilkan 77,2 juta anak, atau 23% dari populasi. Kedua, Generasi X (Januari 1965-Desember 1976) berlangsung selama 12 tahun dan menghasilkan 44,9 juta anak atau 15% dari jumlah penduduk. Kelompok ini juga disebut </w:t>
      </w:r>
      <w:r w:rsidRPr="00143ED1">
        <w:rPr>
          <w:rFonts w:cs="Times New Roman"/>
          <w:i/>
          <w:iCs/>
        </w:rPr>
        <w:t>baby bust</w:t>
      </w:r>
      <w:r w:rsidRPr="00143ED1">
        <w:rPr>
          <w:rFonts w:cs="Times New Roman"/>
        </w:rPr>
        <w:t xml:space="preserve">. Ketiga, generasi Internet (Januari 1977-Desember 1997) berlangsung selama 21 tahun dan menghasilkan sekitar 81,1 juta anak, atau 27% dari populasi. Kelompok ini juga disebut generasi milenial atau generasi Y. </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Keempat, generasi Z yang (Januari 1998-sekarang). Milenial dan Generasi Z adalah </w:t>
      </w:r>
      <w:r w:rsidRPr="00143ED1">
        <w:rPr>
          <w:rFonts w:cs="Times New Roman"/>
          <w:i/>
          <w:iCs/>
        </w:rPr>
        <w:t>digital natives</w:t>
      </w:r>
      <w:r w:rsidRPr="00143ED1">
        <w:rPr>
          <w:rFonts w:cs="Times New Roman"/>
        </w:rPr>
        <w:t xml:space="preserve"> yang menghabiskan sebagian besar waktunya untuk berinteraksi di media sosial </w:t>
      </w:r>
      <w:r w:rsidRPr="00143ED1">
        <w:rPr>
          <w:rFonts w:cs="Times New Roman"/>
        </w:rPr>
        <w:fldChar w:fldCharType="begin" w:fldLock="1"/>
      </w:r>
      <w:r w:rsidRPr="00143ED1">
        <w:rPr>
          <w:rFonts w:cs="Times New Roman"/>
        </w:rPr>
        <w:instrText>ADDIN CSL_CITATION {"citationItems":[{"id":"ITEM-1","itemData":{"author":[{"dropping-particle":"","family":"Tappscot","given":"Don","non-dropping-particle":"","parse-names":false,"suffix":""}],"editor":[{"dropping-particle":"","family":"Tapscott, DonTappscot","given":"D. (2008). Grown Up Digital: How the Net Generation is Changing Your World (D. Tapscott (ed.)). McGraw-Hill. https://books.google.co.id/books?id=DWlIY1PxkyYC&amp;printsec=frontcover&amp;hl=id#v=onepage&amp;q&amp;f=false","non-dropping-particle":"","parse-names":false,"suffix":""}],"id":"ITEM-1","issued":{"date-parts":[["2008"]]},"number-of-pages":"11-16","publisher":"McGraw-Hill","publisher-place":"New York, US","title":"Grown Up Digital: How the Net Generation is Changing Your World","type":"book"},"uris":["http://www.mendeley.com/documents/?uuid=72e025d1-1de5-4d33-aa13-e86c81c4ae38"]}],"mendeley":{"formattedCitation":"(Tappscot, 2008)","plainTextFormattedCitation":"(Tappscot, 2008)","previouslyFormattedCitation":"(Tappscot, 2008)"},"properties":{"noteIndex":0},"schema":"https://github.com/citation-style-language/schema/raw/master/csl-citation.json"}</w:instrText>
      </w:r>
      <w:r w:rsidRPr="00143ED1">
        <w:rPr>
          <w:rFonts w:cs="Times New Roman"/>
        </w:rPr>
        <w:fldChar w:fldCharType="separate"/>
      </w:r>
      <w:r w:rsidRPr="00143ED1">
        <w:rPr>
          <w:rFonts w:cs="Times New Roman"/>
        </w:rPr>
        <w:t>(Tappscot, 2008)</w:t>
      </w:r>
      <w:r w:rsidRPr="00143ED1">
        <w:rPr>
          <w:rFonts w:cs="Times New Roman"/>
        </w:rPr>
        <w:fldChar w:fldCharType="end"/>
      </w:r>
      <w:r w:rsidRPr="00143ED1">
        <w:rPr>
          <w:rFonts w:cs="Times New Roman"/>
        </w:rPr>
        <w:t xml:space="preserve">. Aktivitas tertinggi penggunaan media sosial di Indonesia mencapai 106 juta dari total populasi 262 juta, sehingga membuatnya menduduki peringkat ke-6 pengguna media sosial di dunia. Diakses oleh para digital native dengan menggunakan berbagai macam gadget dengan persentase 62% melalui smartphone, 16% menggunakan komputer, dan 6% menggunakan tablet. Data tersebut sudah bukan rahasia umum apabila melihat realita bahwa masyarakat di sekeliling kita pada umumnya nyaman, asyik dan tidak bisa lepas dari media sosial </w:t>
      </w:r>
      <w:r w:rsidRPr="00143ED1">
        <w:rPr>
          <w:rFonts w:cs="Times New Roman"/>
        </w:rPr>
        <w:fldChar w:fldCharType="begin" w:fldLock="1"/>
      </w:r>
      <w:r w:rsidRPr="00143ED1">
        <w:rPr>
          <w:rFonts w:cs="Times New Roman"/>
        </w:rPr>
        <w:instrText>ADDIN CSL_CITATION {"citationItems":[{"id":"ITEM-1","itemData":{"DOI":"10.24002/jik.v15i1.1243","ISSN":"1829-6564","abstract":"Digital native menghabiskan 79% waktunya untuk mengakses internet setiap hari. Penelitian ini bertujuan memetakan penggunaan media sosial di kalangan digital native. Penelitian yang berlangsung enam bulan ini menggunakan metode kualitatif dan pendekatan studi kasus eksplanatori. Informan yang terlibat sebanyak 225 informan. Hasil penelitian ini terbagi ke dalam tiga domain, yaitu alasan penggunaan media sosial, tujuan menggunakan media sosial dalam keseharian, dan evaluasi diri penggunaan media sosial. Ketiga domain tersebut terintegrasikan secara komprehensif oleh digital native dalam mengolah konten informasi, menginterpretasi, dan mengevaluasi diri sebagai pengguna media sosial yang cerdas.","author":[{"dropping-particle":"","family":"Supratman","given":"Lucy Pujasari","non-dropping-particle":"","parse-names":false,"suffix":""}],"container-title":"Jurnal Ilmu Komunikasi","id":"ITEM-1","issue":"1","issued":{"date-parts":[["2018"]]},"page":"47-60","title":"Penggunaan Media Sosial oleh Digital Native","type":"article-journal","volume":"15"},"uris":["http://www.mendeley.com/documents/?uuid=68b90534-587f-4ab4-b3ec-5428a5e90696"]}],"mendeley":{"formattedCitation":"(Supratman, 2018)","plainTextFormattedCitation":"(Supratman, 2018)","previouslyFormattedCitation":"(Supratman, 2018)"},"properties":{"noteIndex":0},"schema":"https://github.com/citation-style-language/schema/raw/master/csl-citation.json"}</w:instrText>
      </w:r>
      <w:r w:rsidRPr="00143ED1">
        <w:rPr>
          <w:rFonts w:cs="Times New Roman"/>
        </w:rPr>
        <w:fldChar w:fldCharType="separate"/>
      </w:r>
      <w:r w:rsidRPr="00143ED1">
        <w:rPr>
          <w:rFonts w:cs="Times New Roman"/>
        </w:rPr>
        <w:t>(Supratman, 2018)</w:t>
      </w:r>
      <w:r w:rsidRPr="00143ED1">
        <w:rPr>
          <w:rFonts w:cs="Times New Roman"/>
        </w:rPr>
        <w:fldChar w:fldCharType="end"/>
      </w:r>
      <w:r w:rsidRPr="00143ED1">
        <w:rPr>
          <w:rFonts w:cs="Times New Roman"/>
        </w:rPr>
        <w:t>.</w:t>
      </w:r>
    </w:p>
    <w:p w:rsidR="00537852" w:rsidRPr="00143ED1" w:rsidRDefault="00537852" w:rsidP="00537852">
      <w:pPr>
        <w:spacing w:line="480" w:lineRule="auto"/>
        <w:ind w:left="357" w:firstLine="720"/>
        <w:contextualSpacing/>
        <w:jc w:val="both"/>
        <w:rPr>
          <w:rFonts w:cs="Times New Roman"/>
        </w:rPr>
      </w:pPr>
      <w:r w:rsidRPr="00143ED1">
        <w:rPr>
          <w:rFonts w:cs="Times New Roman"/>
        </w:rPr>
        <w:lastRenderedPageBreak/>
        <w:t xml:space="preserve">Namun di sisi lain, tidak dapat dipungkiri bahwa kebutuhan akan pendidikan merupakan kebutuhan nyata yang sebenarnya harus mereka kuasai. Dengan berkembang pesatnya teknologi informasi dan komunikasi (TIK) di era digital terutama masa pandemi ini, pemanfaatan TIK harus dilakukan secara efektif dan efisien supaya dapat mendukung inovasi berbagai aspek proses pencarian aneka jenis informasi, termasuk menjadi wadah potensi pemanfaatan untuk media promosi/pendidikan di bidang kesehatan, termasuk kesehatan gigi dan mulut </w:t>
      </w:r>
      <w:r w:rsidRPr="00143ED1">
        <w:rPr>
          <w:rFonts w:cs="Times New Roman"/>
        </w:rPr>
        <w:fldChar w:fldCharType="begin" w:fldLock="1"/>
      </w:r>
      <w:r w:rsidRPr="00143ED1">
        <w:rPr>
          <w:rFonts w:cs="Times New Roman"/>
        </w:rPr>
        <w:instrText>ADDIN CSL_CITATION {"citationItems":[{"id":"ITEM-1","itemData":{"abstract":"ng interaksi bagi individu melalui komunikasi dua arah. Pemanfaatan media sosial oleh dokter gigi dapat menjadi peluang sebagai wadah promosi kesehatan gigi dan mulut dengan jangkauan yang luas. Penelitian ini bertujuan untuk memberikan gambaran pemanfaatan media sosial pada dokter gigi. Metode penelitian: penelitian ini merupakan studi pendahuluan bersifat deskriptif dengan desain cross sectional. Pengambilan data dilakukan dengan melakukan survei menggunakan kuesioner online google form pada 444 dokter gigi. Hasil penelitian: dari 444 dokter gigi yang menjadi responden penelitian ini, semuanya memiliki media sosial. Jenis media sosial yang mayoritas digunakan oleh responden adalah Instagram sebesar 77%. Sebagian besar responden (274 dari 444 responden) menggunakan media sosial untuk mencari berbagai informasi, sementara itu hanya 65 responden yang menggunakan media sosial untuk membagikan informasi terkait kesehatan gigi dan mulut. Sebanyak 91.7% responden setuju bahwa terdapat pro kontra dalam pemanfaatan media sosial sebagai sarana promosi kesehatan. Kesimpulan: semua responden dokter gigi memiliki media sosial. Mayoritas responden menggunakan media sosial untuk menjelajah berbagai informasi. Jenis dan tujuan pemanfaatan media sosial oleh dokter gigi yang ternyata beragam dapat menjadi potensi pemanfaatan media sosial untuk promosi kesehatan gigi dan mulut.","author":[{"dropping-particle":"","family":"Mayasari","given":"Yufitri","non-dropping-particle":"","parse-names":false,"suffix":""}],"container-title":"Jurnal Universitas Prof. Dr. Moestopo","id":"ITEM-1","issue":"2","issued":{"date-parts":[["2021"]]},"page":"57-69","title":"Gambaran Umum Pemanfaatan Media Sosial pada Dokter Gigi: Studi Pendahuluan","type":"article-journal","volume":"1"},"uris":["http://www.mendeley.com/documents/?uuid=0a2426ab-d37c-458a-9bbc-9db98a0d6f7b"]}],"mendeley":{"formattedCitation":"(Mayasari, 2021)","plainTextFormattedCitation":"(Mayasari, 2021)","previouslyFormattedCitation":"(Mayasari, 2021)"},"properties":{"noteIndex":0},"schema":"https://github.com/citation-style-language/schema/raw/master/csl-citation.json"}</w:instrText>
      </w:r>
      <w:r w:rsidRPr="00143ED1">
        <w:rPr>
          <w:rFonts w:cs="Times New Roman"/>
        </w:rPr>
        <w:fldChar w:fldCharType="separate"/>
      </w:r>
      <w:r w:rsidRPr="00143ED1">
        <w:rPr>
          <w:rFonts w:cs="Times New Roman"/>
        </w:rPr>
        <w:t>(Mayasari, 2021)</w:t>
      </w:r>
      <w:r w:rsidRPr="00143ED1">
        <w:rPr>
          <w:rFonts w:cs="Times New Roman"/>
        </w:rPr>
        <w:fldChar w:fldCharType="end"/>
      </w:r>
      <w:r w:rsidRPr="00143ED1">
        <w:rPr>
          <w:rFonts w:cs="Times New Roman"/>
        </w:rPr>
        <w:t>.</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Berdasarkan data World Health Organization (WHO) pada tahun 2016 diketahui bahwa 60-90% anak usia sekolah mengalami permasalahan dengan giginya. Indonesia masih menjadi salah satu negara dengan persentase masalah gigi dan mulut yang tinggi, yaitu 57,6% </w:t>
      </w:r>
      <w:r w:rsidRPr="00143ED1">
        <w:rPr>
          <w:rFonts w:cs="Times New Roman"/>
        </w:rPr>
        <w:fldChar w:fldCharType="begin" w:fldLock="1"/>
      </w:r>
      <w:r w:rsidRPr="00143ED1">
        <w:rPr>
          <w:rFonts w:cs="Times New Roman"/>
        </w:rPr>
        <w:instrText>ADDIN CSL_CITATION {"citationItems":[{"id":"ITEM-1","itemData":{"abstract":"Dental caries has been reported to be a major oral health problem worldwide and occurs most of the time. It affects all layers of the population, particularly children and substantiated the continued high prevalence. This study aims to describe dental health status of students and teachers in Islamic boarding school to prevent oral disease in early stage. This report is a descriptive observational study with cross sectional design. Subjects of this study are students and teachers in Pondok Pesantren Shohwatul Is'ad, Pangkep Regency, Indonesia. Of all the subjects, caries status and dental hygiene was measured using Oral Hygiene Index Simplified (OHI-S) from Greene and Vermilion and DMF-T index from WHO. After measurement, data were analyzed using SPSS 23.0 program and and presented in the graphs. Of the total 113 subjects, 105 students (74 males and 31 females) and 8 teachers (male). We found the subject aged 11-15 years showed the average score of OHI-S is in the good category (0-1.2). The highest percentage DMF-T of students showed in very low category (0-1.1). OHI-S status of teacher average in moderate category (1.3- 3.0) in subject aged 20-29 years (66.9%) and 30-39 years (60%). Caries status of teachers showed very high category (40%) in subject aged 30-39 years (&gt;6.5). Oral hygiene status of students at Pondok Pesantren Shohwatul Is'ad kec. Ma'rang Pangkep District is good with a very low caries. While the oral hygiene status of teachers still in the moderate category with a high caries status.","author":[{"dropping-particle":"","family":"Ruslin","given":"Muhammad","non-dropping-particle":"","parse-names":false,"suffix":""},{"dropping-particle":"","family":"Samad","given":"Rasmidar","non-dropping-particle":"","parse-names":false,"suffix":""},{"dropping-particle":"","family":"DP","given":"Burhanuddin","non-dropping-particle":"","parse-names":false,"suffix":""},{"dropping-particle":"","family":"Tajrin","given":"A","non-dropping-particle":"","parse-names":false,"suffix":""},{"dropping-particle":"","family":"Fauzi","given":"Abul","non-dropping-particle":"","parse-names":false,"suffix":""},{"dropping-particle":"","family":"Rasul","given":"M. Irfan","non-dropping-particle":"","parse-names":false,"suffix":""},{"dropping-particle":"","family":"Djamaluddin","given":"Nursyamsi","non-dropping-particle":"","parse-names":false,"suffix":""},{"dropping-particle":"","family":"Yusuf","given":"A. St. Hajrah","non-dropping-particle":"","parse-names":false,"suffix":""}],"container-title":"Journal of International Dental and Medical Research","id":"ITEM-1","issue":"2","issued":{"date-parts":[["2019"]]},"page":"677-681","title":"Demography of Oral Health Status for Students and Teachers in Islamic Boarding School Muhammad","type":"article-journal","volume":"12"},"uris":["http://www.mendeley.com/documents/?uuid=7ff78d32-76dd-4c24-acf9-9d2a9812d036"]}],"mendeley":{"formattedCitation":"(Ruslin et al., 2019)","plainTextFormattedCitation":"(Ruslin et al., 2019)","previouslyFormattedCitation":"(Ruslin et al., 2019)"},"properties":{"noteIndex":0},"schema":"https://github.com/citation-style-language/schema/raw/master/csl-citation.json"}</w:instrText>
      </w:r>
      <w:r w:rsidRPr="00143ED1">
        <w:rPr>
          <w:rFonts w:cs="Times New Roman"/>
        </w:rPr>
        <w:fldChar w:fldCharType="separate"/>
      </w:r>
      <w:r w:rsidRPr="00143ED1">
        <w:rPr>
          <w:rFonts w:cs="Times New Roman"/>
        </w:rPr>
        <w:t>(Ruslin et al., 2019)</w:t>
      </w:r>
      <w:r w:rsidRPr="00143ED1">
        <w:rPr>
          <w:rFonts w:cs="Times New Roman"/>
        </w:rPr>
        <w:fldChar w:fldCharType="end"/>
      </w:r>
      <w:r w:rsidRPr="00143ED1">
        <w:rPr>
          <w:rFonts w:cs="Times New Roman"/>
        </w:rPr>
        <w:t xml:space="preserve">. Menurut hasil Riset Kesehatan Dasar (RISKESDAS) RI pada tahun 2018, dengan presentasi masalah gigi dan mulut yang tinggi, ketersediaan tenaga medis kesehatan gigi hanya 10,2%. Hal ini tentu saja mengindikasikan bahwa Indonesia masih harus meningkatkan pelayanan kesehatan gigi dan mulutnya </w:t>
      </w:r>
      <w:r w:rsidRPr="00143ED1">
        <w:rPr>
          <w:rFonts w:cs="Times New Roman"/>
        </w:rPr>
        <w:fldChar w:fldCharType="begin" w:fldLock="1"/>
      </w:r>
      <w:r w:rsidRPr="00143ED1">
        <w:rPr>
          <w:rFonts w:cs="Times New Roman"/>
        </w:rPr>
        <w:instrText>ADDIN CSL_CITATION {"citationItems":[{"id":"ITEM-1","itemData":{"DOI":"10.31983/jkg.v6i1.4404","ISSN":"2407-0866","abstract":"The results of the Riskesdas 2018 state that 93% of children in the age range of 5-6 years get cavities. This can affect the nutritional status of children because cavities make children refuse to eat. The cause of Indonesian child cavities can be triggered by various things related to the dental caries preventive behavior. The purpose of this study is to determine the determinants of dental caries preventive behavior in school-aged children. This study was an observational study with a cross-sectional analytic design to see the influence of the habit of brushing teeth, cariogenic food eating habits, the habit of changing toothbrush regularly, routine dental check-up to dental caries in elementary school students. The results of the bivariate analysis revealed that variable habit of brushing teeth with dental caries had an OR of 1.3, variable of how to brush teeth with dental caries had an OR of 1.5, the variable cariogenic food eating habits with dental caries had an OR of 1.2 and variable of cleanliness teeth and mouth with dental caries has an OR of 1.7. There is no significant relationship between the variables studied with dental caries where the value of p&gt; 0.05. Based on the results of these studies it is recommended that information and education be provided to elementary school students regarding the correct habits and ways of brushing their teeth and the dangers of eating cariogenic foods.","author":[{"dropping-particle":"","family":"Nugraheni","given":"Hermien","non-dropping-particle":"","parse-names":false,"suffix":""},{"dropping-particle":"","family":"Sadimin","given":"Sadimin","non-dropping-particle":"","parse-names":false,"suffix":""},{"dropping-particle":"","family":"Sukini","given":"Sukini","non-dropping-particle":"","parse-names":false,"suffix":""}],"container-title":"Jurnal Kesehatan Gigi","id":"ITEM-1","issue":"1","issued":{"date-parts":[["2019"]]},"page":"26-34","title":"Determinan Perilaku Pencegahan Karies Gigi Siswa Sekolah Dasar Di Kota Semarang","type":"article-journal","volume":"6"},"uris":["http://www.mendeley.com/documents/?uuid=6fc2cfd2-d383-4b5b-b3d4-3253f0fe7430"]}],"mendeley":{"formattedCitation":"(Nugraheni et al., 2019)","plainTextFormattedCitation":"(Nugraheni et al., 2019)","previouslyFormattedCitation":"(Nugraheni et al., 2019)"},"properties":{"noteIndex":0},"schema":"https://github.com/citation-style-language/schema/raw/master/csl-citation.json"}</w:instrText>
      </w:r>
      <w:r w:rsidRPr="00143ED1">
        <w:rPr>
          <w:rFonts w:cs="Times New Roman"/>
        </w:rPr>
        <w:fldChar w:fldCharType="separate"/>
      </w:r>
      <w:r w:rsidRPr="00143ED1">
        <w:rPr>
          <w:rFonts w:cs="Times New Roman"/>
        </w:rPr>
        <w:t>(Nugraheni et al., 2019)</w:t>
      </w:r>
      <w:r w:rsidRPr="00143ED1">
        <w:rPr>
          <w:rFonts w:cs="Times New Roman"/>
        </w:rPr>
        <w:fldChar w:fldCharType="end"/>
      </w:r>
      <w:r w:rsidRPr="00143ED1">
        <w:rPr>
          <w:rFonts w:cs="Times New Roman"/>
        </w:rPr>
        <w:t>.</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Status kesehatan gigi dan mulut tiap individu dipengaruhi oleh empat faktor penting yaitu keturunan, lingkungan (fisik ataupun sosial budaya), perilaku, dan pelayanan kesehatan. Dari keempat faktor tersebut perilaku yang mempengaruhi dan memegang peranan penting dalam kebersihan gigi dan mulut secara langsung, dan juga dapat mempengaruhi faktor lingkungan sekitar dan pelayanan kesehatan. Perilaku pemeliharaan untuk menjaga kesehatan gigi dan mulut merupakan suatu usaha yang dilakukan untuk meningkatan status </w:t>
      </w:r>
      <w:r w:rsidRPr="00143ED1">
        <w:rPr>
          <w:rFonts w:cs="Times New Roman"/>
        </w:rPr>
        <w:lastRenderedPageBreak/>
        <w:t xml:space="preserve">kesehatan gigi dan mulut individu, kelompok, dan masyarakat </w:t>
      </w:r>
      <w:r w:rsidRPr="00143ED1">
        <w:rPr>
          <w:rFonts w:cs="Times New Roman"/>
        </w:rPr>
        <w:fldChar w:fldCharType="begin" w:fldLock="1"/>
      </w:r>
      <w:r w:rsidRPr="00143ED1">
        <w:rPr>
          <w:rFonts w:cs="Times New Roman"/>
        </w:rPr>
        <w:instrText>ADDIN CSL_CITATION {"citationItems":[{"id":"ITEM-1","itemData":{"abstract":"One of the causes of oral problems is the oral hygiene neglect. Despite the high knowledge in oral health care, lot of children still unable to improve their attitude and practice towards oral health care. The aim of this study is to define the association of knowledge level with behaviour towards oral health care in students of SDN 36/IV Jambi in 2018. This is a cross sectional study comprised of 59 subjects recruited by total sampling method. Data collected from questionnaire filled by subjects followed by chi square analysis. The high, moderate and low knowledge level of SDN 36/IV Jambi students were 66,1%, 32,2% and 1,7% respectively. 67,8% subjects had good behaviour towards oral health care, while the other 32,2% had moderate behaviour. No significant association found between knowledge level and behaviour towards oral health care in students of SDN 36/IV Jambi in 2018 (sig=0,446; p ˂ 0,05).","author":[{"dropping-particle":"","family":"Silfia","given":"Aida","non-dropping-particle":"","parse-names":false,"suffix":""},{"dropping-particle":"","family":"Riyadi","given":"Slamet","non-dropping-particle":"","parse-names":false,"suffix":""},{"dropping-particle":"","family":"Razi","given":"Pahrur","non-dropping-particle":"","parse-names":false,"suffix":""}],"container-title":"Jurnal Kesehatan Gigi","id":"ITEM-1","issue":"1","issued":{"date-parts":[["2019"]]},"page":"45-50","title":"Hubungan Tingkat Pengetahuan dengan Perilaku Pemeliharaan Kesehatan Gigi dan Mulut Murdi Sekolah Dasar","type":"article-journal","volume":"6"},"uris":["http://www.mendeley.com/documents/?uuid=f1893fe7-6aa1-4cb1-8044-2d594e8888e9"]}],"mendeley":{"formattedCitation":"(Silfia et al., 2019)","plainTextFormattedCitation":"(Silfia et al., 2019)","previouslyFormattedCitation":"(Silfia et al., 2019)"},"properties":{"noteIndex":0},"schema":"https://github.com/citation-style-language/schema/raw/master/csl-citation.json"}</w:instrText>
      </w:r>
      <w:r w:rsidRPr="00143ED1">
        <w:rPr>
          <w:rFonts w:cs="Times New Roman"/>
        </w:rPr>
        <w:fldChar w:fldCharType="separate"/>
      </w:r>
      <w:r w:rsidRPr="00143ED1">
        <w:rPr>
          <w:rFonts w:cs="Times New Roman"/>
        </w:rPr>
        <w:t>(Silfia et al., 2019)</w:t>
      </w:r>
      <w:r w:rsidRPr="00143ED1">
        <w:rPr>
          <w:rFonts w:cs="Times New Roman"/>
        </w:rPr>
        <w:fldChar w:fldCharType="end"/>
      </w:r>
      <w:r w:rsidRPr="00143ED1">
        <w:rPr>
          <w:rFonts w:cs="Times New Roman"/>
        </w:rPr>
        <w:t>.</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Berbagai macam upaya telah dilakukan untuk meningkatkan kesehatan gigi dan mulut masyarakat di dunia, termasuk di negara kita Indonesia. Salah satu upaya yang dilakukan yaitu dengan melaksanakan penyuluhan/pendidikan kesehatan gigi dan mulut. Pendidikan kesehatan atau dental health education pada dasarnya yaitu suatu kegiatan untuk menyampaikan pesan kesehatan kepada sasaran baik itu individu maupun kelompok. Dengan diterimanya pesan tersebut, diharapkan sasaran menerima pengetahuan kesehatan yang lebih baik dari sebelumnya, dan dari pengetahuan tersebut berdampak terhadap perubahan perilaku kesehatan yang menjadi tujuan dari promosi kesehatan itu sendiri. </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Agar tercapainya tujuan promosi kesehatan ada beberapa faktor yang harus diperhatikan, yakni faktor metode, materi/pesan, pendidik atau penyuluh, dan juga media yang digunakan untuk mengantarkan pesan tersebut. Maka dari itu semua faktor tersebut harus saling mendukung satu sama lain </w:t>
      </w:r>
      <w:r w:rsidRPr="00143ED1">
        <w:rPr>
          <w:rFonts w:cs="Times New Roman"/>
        </w:rPr>
        <w:fldChar w:fldCharType="begin" w:fldLock="1"/>
      </w:r>
      <w:r w:rsidRPr="00143ED1">
        <w:rPr>
          <w:rFonts w:cs="Times New Roman"/>
        </w:rPr>
        <w:instrText>ADDIN CSL_CITATION {"citationItems":[{"id":"ITEM-1","itemData":{"author":[{"dropping-particle":"","family":"Notoatmodjo","given":"Soekidjo","non-dropping-particle":"","parse-names":false,"suffix":""}],"edition":"Revisi2010","editor":[{"dropping-particle":"","family":"Notoatmodjo","given":"Soekidjo","non-dropping-particle":"","parse-names":false,"suffix":""}],"id":"ITEM-1","issued":{"date-parts":[["2010"]]},"number-of-pages":"284","publisher":"Rineka Cipta","publisher-place":"Jakarta","title":"Promosi Kesehatan Teori dan Aplikasi","type":"book"},"uris":["http://www.mendeley.com/documents/?uuid=f75d4c30-47e0-4370-b5c8-6c6802b7104c"]}],"mendeley":{"formattedCitation":"(Notoatmodjo, 2010)","plainTextFormattedCitation":"(Notoatmodjo, 2010)","previouslyFormattedCitation":"(Notoatmodjo, 2010)"},"properties":{"noteIndex":0},"schema":"https://github.com/citation-style-language/schema/raw/master/csl-citation.json"}</w:instrText>
      </w:r>
      <w:r w:rsidRPr="00143ED1">
        <w:rPr>
          <w:rFonts w:cs="Times New Roman"/>
        </w:rPr>
        <w:fldChar w:fldCharType="separate"/>
      </w:r>
      <w:r w:rsidRPr="00143ED1">
        <w:rPr>
          <w:rFonts w:cs="Times New Roman"/>
        </w:rPr>
        <w:t>(Notoatmodjo, 2010)</w:t>
      </w:r>
      <w:r w:rsidRPr="00143ED1">
        <w:rPr>
          <w:rFonts w:cs="Times New Roman"/>
        </w:rPr>
        <w:fldChar w:fldCharType="end"/>
      </w:r>
      <w:r w:rsidRPr="00143ED1">
        <w:rPr>
          <w:rFonts w:cs="Times New Roman"/>
        </w:rPr>
        <w:t xml:space="preserve">. Media pendidikan atau promosi kesehatan merupakan sarana atau upaya untuk menampilkan pesan atau informasi yang ingin disampaikan oleh seorang komunikator. </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Promosi kesehatan tidak lepas dari media karena membuat pesan lebih menarik dan mudah dipahami, serta memudahkan subjek menerima pesan dan memilih perilaku positif. Ada banyak media promosi kesehatan yang tersedia, termasuk media audiovisual. Media audiovisual adalah media yang memuat unsur suara dan juga gambar seperti rekaman video, animasi, dan slide suara dan lain sebagainya. Kekuatan media audiovisual ini dinilai lebih baik dan </w:t>
      </w:r>
      <w:r w:rsidRPr="00143ED1">
        <w:rPr>
          <w:rFonts w:cs="Times New Roman"/>
        </w:rPr>
        <w:lastRenderedPageBreak/>
        <w:t xml:space="preserve">menarik karena melibatkan dua komponen, yaitu mendengar dan melihat. </w:t>
      </w:r>
      <w:r w:rsidRPr="00143ED1">
        <w:rPr>
          <w:rFonts w:cs="Times New Roman"/>
        </w:rPr>
        <w:fldChar w:fldCharType="begin" w:fldLock="1"/>
      </w:r>
      <w:r w:rsidRPr="00143ED1">
        <w:rPr>
          <w:rFonts w:cs="Times New Roman"/>
        </w:rPr>
        <w:instrText>ADDIN CSL_CITATION {"citationItems":[{"id":"ITEM-1","itemData":{"DOI":"10.22435/mpk.v30i1.1944","ISSN":"0853-9987","abstract":"Penyakit kanker merupakan salah satu penyebab utama kematian dan jenis kanker yang lebih banyak terjadi pada wanita adalah kanker payudara. Hal ini dipengaruhi oleh rendahnya pengetahuan remaja putri mengenai pemeriksaan SADARI sehingga 70% banyak yang datang dalam keadaan stadium lanjut (III dan IV) dan 80% masyarakat tidak mengerti pentingnya SADARI. Tujuan penelitian ini adalah untuk mengetahui efektifitas promosi kesehatan tentang SADARI melalui vidio dan leaflet terhadap peningkatan pengetahuan remaja putri tentang SADARI di SMAN 1 Kampar Tahun 2018. Jenis penelitian yang digunakan adalah jenis penelitian Quasi Eksperimental dengan rancangan penelitian yang digunakan adalah Pretest and Postest two Group Design. Penelitian ini dilaksanakan pada tanggal 16 Juli 2018 dengan jumlah sampel 36 siswi SMAN 1 Kampar diperoleh menggunakan teknik probabiliti sampling dengan menggunakan proportionate startified random sampling. Populasi dalam penelitian ini adalah siswi kelas X dan XI SMA N 1 Kampar tahun 2018. Alat pengumpulan data yang digunakan dalam penelitian ini adalah kuesioner yang diberikan pada responden penelitian siswi SMAN 1 Kampar sebelum dan setelah perlakuan atau diberikan promosi kesehatan SADARI. Uji statistik yang digunakan peneliti adalah Uji T berpasangan (T-Paired). Hasil penelitian didapatkan ada pengaruh promosi kesehatan melalui audio visual dengan nilai (p= 0,003) dan promosi kesehatan melalui leaflet dengan nilai (p=0,004). Uji statistik menunjukkan bahwa promosi kesehatan tentang SADARI melalui audio visual lebih efektif dari pada menggunakan leaflet (p=0,003 ≤ 0,05). Diharapkan bagi tenaga kesehatan agar dapat menerapkan promosi kesehatan dengan leaflet atau pun audio visual dalam upaya deteksi dini kanker payudara.","author":[{"dropping-particle":"","family":"Alini","given":"","non-dropping-particle":"","parse-names":false,"suffix":""},{"dropping-particle":"","family":"Indrawati","given":"","non-dropping-particle":"","parse-names":false,"suffix":""}],"container-title":"Research &amp; Learning in Nursing Science","id":"ITEM-1","issue":"2","issued":{"date-parts":[["2018"]]},"page":"1-9","title":"Efektifitas Promosi Kesehatan Melalui Audio Visual dan Leaflet tentang SADARI (Pemeriksaan Payudara Sendiri) terhadap Peningkatan Pengetahuan Remaja Putri tentang SADARI di SMAN 1 Kampar Tahun 2018","type":"article-journal","volume":"2"},"uris":["http://www.mendeley.com/documents/?uuid=51c1a6c5-6823-4815-800b-d772fc568ddf"]}],"mendeley":{"formattedCitation":"(Alini &amp; Indrawati, 2018)","plainTextFormattedCitation":"(Alini &amp; Indrawati, 2018)","previouslyFormattedCitation":"(Alini &amp; Indrawati, 2018)"},"properties":{"noteIndex":0},"schema":"https://github.com/citation-style-language/schema/raw/master/csl-citation.json"}</w:instrText>
      </w:r>
      <w:r w:rsidRPr="00143ED1">
        <w:rPr>
          <w:rFonts w:cs="Times New Roman"/>
        </w:rPr>
        <w:fldChar w:fldCharType="separate"/>
      </w:r>
      <w:r w:rsidRPr="00143ED1">
        <w:rPr>
          <w:rFonts w:cs="Times New Roman"/>
        </w:rPr>
        <w:t>(Alini &amp; Indrawati, 2018)</w:t>
      </w:r>
      <w:r w:rsidRPr="00143ED1">
        <w:rPr>
          <w:rFonts w:cs="Times New Roman"/>
        </w:rPr>
        <w:fldChar w:fldCharType="end"/>
      </w:r>
      <w:r w:rsidRPr="00143ED1">
        <w:rPr>
          <w:rFonts w:cs="Times New Roman"/>
        </w:rPr>
        <w:t xml:space="preserve">. </w:t>
      </w:r>
    </w:p>
    <w:p w:rsidR="00537852" w:rsidRPr="00143ED1" w:rsidRDefault="00537852" w:rsidP="00537852">
      <w:pPr>
        <w:spacing w:line="480" w:lineRule="auto"/>
        <w:ind w:left="357" w:firstLine="720"/>
        <w:contextualSpacing/>
        <w:jc w:val="both"/>
        <w:rPr>
          <w:rFonts w:cs="Times New Roman"/>
        </w:rPr>
      </w:pPr>
      <w:r w:rsidRPr="00143ED1">
        <w:rPr>
          <w:rFonts w:cs="Times New Roman"/>
        </w:rPr>
        <w:t xml:space="preserve">Berdasarkan data dan pernyataan di atas maka peneliti tertarik untuk menguji lebih lanjut tentang </w:t>
      </w:r>
      <w:r w:rsidRPr="00143ED1">
        <w:rPr>
          <w:rFonts w:cs="Times New Roman"/>
          <w:b/>
          <w:bCs/>
        </w:rPr>
        <w:t>“Pengaruh Video Animasi terhadap Peningkatan Perilaku Menjaga Kesehatan Gigi dengan Memanfaatkan Media Online”</w:t>
      </w:r>
      <w:r w:rsidRPr="00143ED1">
        <w:rPr>
          <w:rFonts w:cs="Times New Roman"/>
        </w:rPr>
        <w:t>.</w:t>
      </w:r>
    </w:p>
    <w:p w:rsidR="00537852" w:rsidRPr="00143ED1" w:rsidRDefault="00537852" w:rsidP="00537852">
      <w:pPr>
        <w:pStyle w:val="Heading2"/>
      </w:pPr>
      <w:bookmarkStart w:id="3" w:name="_Toc109663603"/>
      <w:r w:rsidRPr="00143ED1">
        <w:t>Rumusan Masalah</w:t>
      </w:r>
      <w:bookmarkEnd w:id="3"/>
    </w:p>
    <w:p w:rsidR="00537852" w:rsidRPr="00143ED1" w:rsidRDefault="00537852" w:rsidP="00537852">
      <w:pPr>
        <w:spacing w:line="480" w:lineRule="auto"/>
        <w:ind w:left="357"/>
        <w:contextualSpacing/>
        <w:jc w:val="both"/>
        <w:rPr>
          <w:rFonts w:cs="Times New Roman"/>
        </w:rPr>
      </w:pPr>
      <w:r w:rsidRPr="00143ED1">
        <w:rPr>
          <w:rFonts w:cs="Times New Roman"/>
        </w:rPr>
        <w:t>Berdasarkan latar belakang yang telah diuraikan, maka rumusan permasalahan yang ingin diketahui ialah bagaimana pengaruh video animasi terhadap peningkatan perilaku menjaga kesehatan gigi dengan memanfaatkan media online?</w:t>
      </w:r>
    </w:p>
    <w:p w:rsidR="00537852" w:rsidRPr="00143ED1" w:rsidRDefault="00537852" w:rsidP="00537852">
      <w:pPr>
        <w:pStyle w:val="Heading2"/>
      </w:pPr>
      <w:bookmarkStart w:id="4" w:name="_Toc109663604"/>
      <w:r w:rsidRPr="00143ED1">
        <w:t>Tujuan Penelitian</w:t>
      </w:r>
      <w:bookmarkEnd w:id="4"/>
    </w:p>
    <w:p w:rsidR="00537852" w:rsidRPr="00143ED1" w:rsidRDefault="00537852" w:rsidP="00537852">
      <w:pPr>
        <w:pStyle w:val="Heading3"/>
        <w:contextualSpacing/>
      </w:pPr>
      <w:bookmarkStart w:id="5" w:name="_Toc109663605"/>
      <w:r w:rsidRPr="00143ED1">
        <w:t>Tujuan Umum</w:t>
      </w:r>
      <w:bookmarkEnd w:id="5"/>
    </w:p>
    <w:p w:rsidR="00537852" w:rsidRPr="00143ED1" w:rsidRDefault="00537852" w:rsidP="00537852">
      <w:pPr>
        <w:spacing w:line="480" w:lineRule="auto"/>
        <w:ind w:left="731" w:hanging="11"/>
        <w:contextualSpacing/>
        <w:jc w:val="both"/>
        <w:rPr>
          <w:rFonts w:cs="Times New Roman"/>
        </w:rPr>
      </w:pPr>
      <w:r w:rsidRPr="00143ED1">
        <w:rPr>
          <w:rFonts w:cs="Times New Roman"/>
        </w:rPr>
        <w:t>Mengetahui pengaruh video animasi terhadap peningkatan perilaku menjaga kesehatan gigi dengan memanfaatkan media online.</w:t>
      </w:r>
    </w:p>
    <w:p w:rsidR="00537852" w:rsidRPr="00143ED1" w:rsidRDefault="00537852" w:rsidP="00537852">
      <w:pPr>
        <w:pStyle w:val="Heading3"/>
        <w:contextualSpacing/>
      </w:pPr>
      <w:bookmarkStart w:id="6" w:name="_Toc109663606"/>
      <w:r w:rsidRPr="00143ED1">
        <w:t>Tujuan Khusus</w:t>
      </w:r>
      <w:bookmarkEnd w:id="6"/>
    </w:p>
    <w:p w:rsidR="00537852" w:rsidRPr="00143ED1" w:rsidRDefault="00537852" w:rsidP="00537852">
      <w:pPr>
        <w:pStyle w:val="ListParagraph"/>
        <w:numPr>
          <w:ilvl w:val="0"/>
          <w:numId w:val="4"/>
        </w:numPr>
        <w:tabs>
          <w:tab w:val="clear" w:pos="1071"/>
        </w:tabs>
        <w:spacing w:line="480" w:lineRule="auto"/>
        <w:jc w:val="both"/>
        <w:rPr>
          <w:rFonts w:cs="Times New Roman"/>
        </w:rPr>
      </w:pPr>
      <w:r w:rsidRPr="00143ED1">
        <w:rPr>
          <w:rFonts w:cs="Times New Roman"/>
        </w:rPr>
        <w:t>Mengetahui perbedaan perilaku sebelum dan sesudah pada followers instagram terhadap pengaruh video animasi.</w:t>
      </w:r>
    </w:p>
    <w:p w:rsidR="00537852" w:rsidRPr="00143ED1" w:rsidRDefault="00537852" w:rsidP="00537852">
      <w:pPr>
        <w:pStyle w:val="ListParagraph"/>
        <w:numPr>
          <w:ilvl w:val="0"/>
          <w:numId w:val="4"/>
        </w:numPr>
        <w:tabs>
          <w:tab w:val="clear" w:pos="1071"/>
        </w:tabs>
        <w:spacing w:line="480" w:lineRule="auto"/>
        <w:jc w:val="both"/>
        <w:rPr>
          <w:rFonts w:cs="Times New Roman"/>
        </w:rPr>
      </w:pPr>
      <w:r w:rsidRPr="00143ED1">
        <w:rPr>
          <w:rFonts w:cs="Times New Roman"/>
        </w:rPr>
        <w:t>Mengetahui pengaruh video animasi terhadap peningkatan perilaku menjaga kesehatan gigi dengan memanfaatkan media online instagram berdasarkan usia.</w:t>
      </w:r>
    </w:p>
    <w:p w:rsidR="00537852" w:rsidRPr="00143ED1" w:rsidRDefault="00537852" w:rsidP="00537852">
      <w:pPr>
        <w:pStyle w:val="ListParagraph"/>
        <w:numPr>
          <w:ilvl w:val="0"/>
          <w:numId w:val="4"/>
        </w:numPr>
        <w:tabs>
          <w:tab w:val="clear" w:pos="1071"/>
        </w:tabs>
        <w:spacing w:line="480" w:lineRule="auto"/>
        <w:jc w:val="both"/>
        <w:rPr>
          <w:rFonts w:cs="Times New Roman"/>
        </w:rPr>
      </w:pPr>
      <w:r w:rsidRPr="00143ED1">
        <w:rPr>
          <w:rFonts w:cs="Times New Roman"/>
        </w:rPr>
        <w:t>Mengetahui pengaruh video animasi terhadap peningkatan perilaku menjaga kesehatan gigi dengan memanfaatkan media online instagram berdasarkan jenis kelamin.</w:t>
      </w:r>
    </w:p>
    <w:p w:rsidR="00537852" w:rsidRPr="00143ED1" w:rsidRDefault="00537852" w:rsidP="00537852">
      <w:pPr>
        <w:pStyle w:val="Heading2"/>
      </w:pPr>
      <w:bookmarkStart w:id="7" w:name="_Toc109663607"/>
      <w:r w:rsidRPr="00143ED1">
        <w:lastRenderedPageBreak/>
        <w:t>Manfaat Penelitian</w:t>
      </w:r>
      <w:bookmarkEnd w:id="7"/>
    </w:p>
    <w:p w:rsidR="00537852" w:rsidRPr="00143ED1" w:rsidRDefault="00537852" w:rsidP="00537852">
      <w:pPr>
        <w:pStyle w:val="Heading3"/>
        <w:numPr>
          <w:ilvl w:val="0"/>
          <w:numId w:val="5"/>
        </w:numPr>
        <w:contextualSpacing/>
      </w:pPr>
      <w:bookmarkStart w:id="8" w:name="_Toc109663608"/>
      <w:r w:rsidRPr="00143ED1">
        <w:t>Manfaat Teoritis</w:t>
      </w:r>
      <w:bookmarkEnd w:id="8"/>
    </w:p>
    <w:p w:rsidR="00537852" w:rsidRPr="00143ED1" w:rsidRDefault="00537852" w:rsidP="00537852">
      <w:pPr>
        <w:pStyle w:val="ListParagraph"/>
        <w:spacing w:line="480" w:lineRule="auto"/>
        <w:ind w:left="714"/>
        <w:jc w:val="both"/>
        <w:rPr>
          <w:rFonts w:cs="Times New Roman"/>
        </w:rPr>
      </w:pPr>
      <w:r w:rsidRPr="00143ED1">
        <w:rPr>
          <w:rFonts w:cs="Times New Roman"/>
        </w:rPr>
        <w:t>Hasil penelitian ini dapat memberikan manfaat untuk menambah pengetahuan dan wawasan di bidang kesehatan gigi khususnya mengenai pengaruh video animasi terhadap peningkatan perilaku menjaga kesehatan gigi dengan memanfaatkan media online.</w:t>
      </w:r>
    </w:p>
    <w:p w:rsidR="00537852" w:rsidRPr="00143ED1" w:rsidRDefault="00537852" w:rsidP="00537852">
      <w:pPr>
        <w:pStyle w:val="Heading3"/>
        <w:contextualSpacing/>
      </w:pPr>
      <w:bookmarkStart w:id="9" w:name="_Toc109663609"/>
      <w:r w:rsidRPr="00143ED1">
        <w:t>Manfaat Praktis</w:t>
      </w:r>
      <w:bookmarkEnd w:id="9"/>
    </w:p>
    <w:p w:rsidR="00537852" w:rsidRPr="00143ED1" w:rsidRDefault="00537852" w:rsidP="00537852">
      <w:pPr>
        <w:spacing w:line="480" w:lineRule="auto"/>
        <w:ind w:left="720"/>
        <w:contextualSpacing/>
        <w:jc w:val="both"/>
        <w:rPr>
          <w:rFonts w:cs="Times New Roman"/>
        </w:rPr>
      </w:pPr>
      <w:r w:rsidRPr="00143ED1">
        <w:rPr>
          <w:rFonts w:cs="Times New Roman"/>
        </w:rPr>
        <w:t>Bagi Peneliti, untuk menambah pengetahuan dan wawasan peneliti tentang pengaruh video animasi terhadap peningkatan perilaku menjaga kesehatan gigi dengan memanfaatkan media online.</w:t>
      </w:r>
    </w:p>
    <w:p w:rsidR="00537852" w:rsidRPr="00143ED1" w:rsidRDefault="00537852" w:rsidP="00537852">
      <w:pPr>
        <w:pStyle w:val="ListParagraph"/>
        <w:numPr>
          <w:ilvl w:val="0"/>
          <w:numId w:val="1"/>
        </w:numPr>
        <w:spacing w:line="480" w:lineRule="auto"/>
        <w:jc w:val="both"/>
        <w:rPr>
          <w:rFonts w:cs="Times New Roman"/>
        </w:rPr>
      </w:pPr>
      <w:r w:rsidRPr="00143ED1">
        <w:rPr>
          <w:rFonts w:cs="Times New Roman"/>
        </w:rPr>
        <w:t>Bagi Institusi</w:t>
      </w:r>
      <w:bookmarkStart w:id="10" w:name="_Hlk90294752"/>
      <w:r w:rsidRPr="00143ED1">
        <w:rPr>
          <w:rFonts w:cs="Times New Roman"/>
        </w:rPr>
        <w:t>, sebagai bahan informasi dan referensi untuk menambah pengetahuan dan wawasan mengenai pengaruh video animasi terhadap peningkatan perilaku menjaga kesehatan gigi dengan memanfaatkan media online. Serta sebagai pertimbangan kelayakan video animasi sebagai bahan ajar/metode penyuluhan kesehatan gigi dan mulut.</w:t>
      </w:r>
    </w:p>
    <w:bookmarkEnd w:id="10"/>
    <w:p w:rsidR="00537852" w:rsidRPr="00143ED1" w:rsidRDefault="00537852" w:rsidP="00537852">
      <w:pPr>
        <w:pStyle w:val="ListParagraph"/>
        <w:numPr>
          <w:ilvl w:val="0"/>
          <w:numId w:val="1"/>
        </w:numPr>
        <w:spacing w:line="480" w:lineRule="auto"/>
        <w:jc w:val="both"/>
        <w:rPr>
          <w:rFonts w:cs="Times New Roman"/>
        </w:rPr>
      </w:pPr>
      <w:r w:rsidRPr="00143ED1">
        <w:rPr>
          <w:rFonts w:cs="Times New Roman"/>
        </w:rPr>
        <w:t>Bagi Responden, untuk memberikan informasi, pentingnya menjaga kesehatan gigi, dan meningkatan kesadaran masyarakat umum tentang pentingnya menjaga kesehatan gigi.</w:t>
      </w:r>
    </w:p>
    <w:p w:rsidR="00537852" w:rsidRPr="00143ED1" w:rsidRDefault="00537852" w:rsidP="00537852">
      <w:pPr>
        <w:pStyle w:val="Heading2"/>
      </w:pPr>
      <w:bookmarkStart w:id="11" w:name="_Toc109663610"/>
      <w:r w:rsidRPr="00143ED1">
        <w:t>Keaslian Penelitian</w:t>
      </w:r>
      <w:bookmarkEnd w:id="11"/>
      <w:r w:rsidRPr="00143ED1">
        <w:t xml:space="preserve"> </w:t>
      </w:r>
    </w:p>
    <w:p w:rsidR="00537852" w:rsidRPr="00143ED1" w:rsidRDefault="00537852" w:rsidP="00537852">
      <w:pPr>
        <w:pStyle w:val="ListParagraph"/>
        <w:spacing w:line="480" w:lineRule="auto"/>
        <w:ind w:left="360"/>
        <w:jc w:val="both"/>
        <w:rPr>
          <w:rFonts w:cs="Times New Roman"/>
          <w:szCs w:val="24"/>
        </w:rPr>
      </w:pPr>
      <w:bookmarkStart w:id="12" w:name="_Toc90552790"/>
      <w:r w:rsidRPr="00143ED1">
        <w:rPr>
          <w:rFonts w:cs="Times New Roman"/>
          <w:szCs w:val="24"/>
        </w:rPr>
        <w:t xml:space="preserve">Tabel Keaslian Penelitian. Daftar tabel penelitian terkait pengaruh media video animasi/audio visual terhadap </w:t>
      </w:r>
      <w:r w:rsidRPr="00143ED1">
        <w:rPr>
          <w:rFonts w:cs="Times New Roman"/>
        </w:rPr>
        <w:t>peningkatan</w:t>
      </w:r>
      <w:r w:rsidRPr="00143ED1">
        <w:rPr>
          <w:rFonts w:cs="Times New Roman"/>
          <w:szCs w:val="24"/>
        </w:rPr>
        <w:t xml:space="preserve"> perilaku menjaga kesehatan gigi.</w:t>
      </w:r>
      <w:bookmarkEnd w:id="12"/>
    </w:p>
    <w:p w:rsidR="00537852" w:rsidRPr="00143ED1" w:rsidRDefault="00537852" w:rsidP="00537852">
      <w:pPr>
        <w:contextualSpacing/>
        <w:rPr>
          <w:b/>
          <w:bCs/>
          <w:color w:val="000000" w:themeColor="text1"/>
          <w:szCs w:val="24"/>
        </w:rPr>
      </w:pPr>
      <w:r w:rsidRPr="00143ED1">
        <w:rPr>
          <w:b/>
          <w:bCs/>
          <w:i/>
          <w:iCs/>
          <w:color w:val="000000" w:themeColor="text1"/>
          <w:szCs w:val="24"/>
        </w:rPr>
        <w:br w:type="page"/>
      </w:r>
    </w:p>
    <w:p w:rsidR="00537852" w:rsidRPr="00143ED1" w:rsidRDefault="00537852" w:rsidP="00537852">
      <w:pPr>
        <w:pStyle w:val="Caption"/>
        <w:spacing w:after="0"/>
        <w:contextualSpacing/>
        <w:jc w:val="center"/>
        <w:rPr>
          <w:b/>
          <w:bCs/>
          <w:i w:val="0"/>
          <w:iCs w:val="0"/>
          <w:color w:val="000000" w:themeColor="text1"/>
          <w:sz w:val="24"/>
          <w:szCs w:val="24"/>
        </w:rPr>
      </w:pPr>
      <w:bookmarkStart w:id="13" w:name="_Toc107764771"/>
      <w:r w:rsidRPr="00143ED1">
        <w:rPr>
          <w:b/>
          <w:bCs/>
          <w:i w:val="0"/>
          <w:iCs w:val="0"/>
          <w:color w:val="000000" w:themeColor="text1"/>
          <w:sz w:val="24"/>
          <w:szCs w:val="24"/>
        </w:rPr>
        <w:lastRenderedPageBreak/>
        <w:t xml:space="preserve">Tabel 1. </w:t>
      </w:r>
      <w:r w:rsidRPr="00143ED1">
        <w:rPr>
          <w:b/>
          <w:bCs/>
          <w:i w:val="0"/>
          <w:iCs w:val="0"/>
          <w:color w:val="000000" w:themeColor="text1"/>
          <w:sz w:val="24"/>
          <w:szCs w:val="24"/>
        </w:rPr>
        <w:fldChar w:fldCharType="begin"/>
      </w:r>
      <w:r w:rsidRPr="00143ED1">
        <w:rPr>
          <w:b/>
          <w:bCs/>
          <w:i w:val="0"/>
          <w:iCs w:val="0"/>
          <w:color w:val="000000" w:themeColor="text1"/>
          <w:sz w:val="24"/>
          <w:szCs w:val="24"/>
        </w:rPr>
        <w:instrText xml:space="preserve"> SEQ Tabel_1. \* ARABIC </w:instrText>
      </w:r>
      <w:r w:rsidRPr="00143ED1">
        <w:rPr>
          <w:b/>
          <w:bCs/>
          <w:i w:val="0"/>
          <w:iCs w:val="0"/>
          <w:color w:val="000000" w:themeColor="text1"/>
          <w:sz w:val="24"/>
          <w:szCs w:val="24"/>
        </w:rPr>
        <w:fldChar w:fldCharType="separate"/>
      </w:r>
      <w:r>
        <w:rPr>
          <w:b/>
          <w:bCs/>
          <w:i w:val="0"/>
          <w:iCs w:val="0"/>
          <w:color w:val="000000" w:themeColor="text1"/>
          <w:sz w:val="24"/>
          <w:szCs w:val="24"/>
        </w:rPr>
        <w:t>1</w:t>
      </w:r>
      <w:r w:rsidRPr="00143ED1">
        <w:rPr>
          <w:b/>
          <w:bCs/>
          <w:i w:val="0"/>
          <w:iCs w:val="0"/>
          <w:color w:val="000000" w:themeColor="text1"/>
          <w:sz w:val="24"/>
          <w:szCs w:val="24"/>
        </w:rPr>
        <w:fldChar w:fldCharType="end"/>
      </w:r>
      <w:r w:rsidRPr="00143ED1">
        <w:rPr>
          <w:b/>
          <w:bCs/>
          <w:i w:val="0"/>
          <w:iCs w:val="0"/>
          <w:color w:val="000000" w:themeColor="text1"/>
          <w:sz w:val="24"/>
          <w:szCs w:val="24"/>
        </w:rPr>
        <w:t xml:space="preserve"> Keaslian Penelitian</w:t>
      </w:r>
      <w:bookmarkEnd w:id="13"/>
    </w:p>
    <w:tbl>
      <w:tblPr>
        <w:tblStyle w:val="TableGrid"/>
        <w:tblW w:w="7735" w:type="dxa"/>
        <w:tblInd w:w="360"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67"/>
        <w:gridCol w:w="1593"/>
        <w:gridCol w:w="5575"/>
      </w:tblGrid>
      <w:tr w:rsidR="00537852" w:rsidRPr="00143ED1" w:rsidTr="00D14E09">
        <w:tc>
          <w:tcPr>
            <w:tcW w:w="567" w:type="dxa"/>
          </w:tcPr>
          <w:p w:rsidR="00537852" w:rsidRPr="00143ED1" w:rsidRDefault="00537852" w:rsidP="00D14E09">
            <w:pPr>
              <w:pStyle w:val="ListParagraph"/>
              <w:ind w:left="0"/>
              <w:jc w:val="center"/>
              <w:rPr>
                <w:rFonts w:cs="Times New Roman"/>
                <w:b/>
                <w:bCs/>
                <w:sz w:val="22"/>
              </w:rPr>
            </w:pPr>
            <w:r w:rsidRPr="00143ED1">
              <w:rPr>
                <w:rFonts w:cs="Times New Roman"/>
                <w:b/>
                <w:bCs/>
                <w:sz w:val="22"/>
              </w:rPr>
              <w:t>No</w:t>
            </w:r>
          </w:p>
        </w:tc>
        <w:tc>
          <w:tcPr>
            <w:tcW w:w="1593" w:type="dxa"/>
          </w:tcPr>
          <w:p w:rsidR="00537852" w:rsidRPr="00143ED1" w:rsidRDefault="00537852" w:rsidP="00D14E09">
            <w:pPr>
              <w:pStyle w:val="ListParagraph"/>
              <w:ind w:left="0"/>
              <w:rPr>
                <w:rFonts w:cs="Times New Roman"/>
                <w:b/>
                <w:bCs/>
                <w:sz w:val="22"/>
              </w:rPr>
            </w:pPr>
          </w:p>
        </w:tc>
        <w:tc>
          <w:tcPr>
            <w:tcW w:w="5575" w:type="dxa"/>
            <w:shd w:val="clear" w:color="auto" w:fill="auto"/>
          </w:tcPr>
          <w:p w:rsidR="00537852" w:rsidRPr="00143ED1" w:rsidRDefault="00537852" w:rsidP="00D14E09">
            <w:pPr>
              <w:contextualSpacing/>
              <w:jc w:val="center"/>
              <w:rPr>
                <w:rFonts w:cs="Times New Roman"/>
                <w:b/>
                <w:bCs/>
                <w:sz w:val="22"/>
              </w:rPr>
            </w:pPr>
            <w:r w:rsidRPr="00143ED1">
              <w:rPr>
                <w:rFonts w:cs="Times New Roman"/>
                <w:b/>
                <w:bCs/>
                <w:sz w:val="22"/>
              </w:rPr>
              <w:t>Deskripsi rangkuman penelitian</w:t>
            </w:r>
          </w:p>
        </w:tc>
      </w:tr>
      <w:tr w:rsidR="00537852" w:rsidRPr="00143ED1" w:rsidTr="00D14E09">
        <w:tc>
          <w:tcPr>
            <w:tcW w:w="567" w:type="dxa"/>
          </w:tcPr>
          <w:p w:rsidR="00537852" w:rsidRPr="00143ED1" w:rsidRDefault="00537852" w:rsidP="00D14E09">
            <w:pPr>
              <w:pStyle w:val="ListParagraph"/>
              <w:ind w:left="0"/>
              <w:jc w:val="center"/>
              <w:rPr>
                <w:rFonts w:cs="Times New Roman"/>
                <w:sz w:val="22"/>
              </w:rPr>
            </w:pPr>
            <w:r w:rsidRPr="00143ED1">
              <w:rPr>
                <w:rFonts w:cs="Times New Roman"/>
                <w:sz w:val="22"/>
              </w:rPr>
              <w:t>1.</w:t>
            </w: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Judul</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Pengaruh Penyuluhan dengan Metode Pemutaran Video Animasi secara Virtual terhadap Pengetahuan Menyikat Gigi Anak Kelas 5 SD</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independen</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Pemutaran video animasi secara virtual.</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dependen</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Pengetahuan menyikat gigi.</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Metode </w:t>
            </w:r>
          </w:p>
        </w:tc>
        <w:tc>
          <w:tcPr>
            <w:tcW w:w="5575" w:type="dxa"/>
          </w:tcPr>
          <w:p w:rsidR="00537852" w:rsidRPr="00143ED1" w:rsidRDefault="00537852" w:rsidP="00D14E09">
            <w:pPr>
              <w:contextualSpacing/>
              <w:jc w:val="both"/>
              <w:rPr>
                <w:rFonts w:eastAsia="Times New Roman" w:cs="Times New Roman"/>
                <w:sz w:val="22"/>
                <w:lang w:eastAsia="en-ID"/>
              </w:rPr>
            </w:pPr>
            <w:r w:rsidRPr="00143ED1">
              <w:rPr>
                <w:rFonts w:eastAsia="Times New Roman" w:cs="Times New Roman"/>
                <w:i/>
                <w:iCs/>
                <w:sz w:val="22"/>
                <w:lang w:eastAsia="en-ID"/>
              </w:rPr>
              <w:t>Quasi-experimental one group pre-test – post-test design</w:t>
            </w:r>
            <w:r w:rsidRPr="00143ED1">
              <w:rPr>
                <w:rFonts w:eastAsia="Times New Roman" w:cs="Times New Roman"/>
                <w:sz w:val="22"/>
                <w:lang w:eastAsia="en-ID"/>
              </w:rPr>
              <w:t>. Sampel pada penelitian ini adalah anak SD kelas 5 sebanyak 40 orang.</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Hasil </w:t>
            </w:r>
          </w:p>
        </w:tc>
        <w:tc>
          <w:tcPr>
            <w:tcW w:w="5575" w:type="dxa"/>
          </w:tcPr>
          <w:p w:rsidR="00537852" w:rsidRPr="00143ED1" w:rsidRDefault="00537852" w:rsidP="00D14E09">
            <w:pPr>
              <w:contextualSpacing/>
              <w:jc w:val="both"/>
              <w:rPr>
                <w:rFonts w:eastAsia="Times New Roman" w:cs="Times New Roman"/>
                <w:sz w:val="22"/>
                <w:lang w:eastAsia="en-ID"/>
              </w:rPr>
            </w:pPr>
            <w:r w:rsidRPr="00143ED1">
              <w:rPr>
                <w:rFonts w:eastAsia="Times New Roman" w:cs="Times New Roman"/>
                <w:sz w:val="22"/>
                <w:lang w:eastAsia="en-ID"/>
              </w:rPr>
              <w:t>Rata-rata tingkat pengetahuan respondent sebelum penyuluhan memiliki pengetahuan rendah (38% jawaban rendah) dan memiliki pengetahuan baik (78% jawaban benar). Secara uji statistik didapatkan nilai p=0,000(&lt;0,05) yang artinya terdapat perbedaan bermakna tingkat pengetahuan anak dari sebelum dibanding sesudah penyuluhan dengan pemutaran video animasi secara virtual.</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Perbedaan dengan penelitian ini</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Terletak pada lokasi atau tempat, variabel dependen dan independennya berbeda.</w:t>
            </w:r>
          </w:p>
        </w:tc>
      </w:tr>
      <w:tr w:rsidR="00537852" w:rsidRPr="00143ED1" w:rsidTr="00D14E09">
        <w:tc>
          <w:tcPr>
            <w:tcW w:w="567" w:type="dxa"/>
          </w:tcPr>
          <w:p w:rsidR="00537852" w:rsidRPr="00143ED1" w:rsidRDefault="00537852" w:rsidP="00D14E09">
            <w:pPr>
              <w:pStyle w:val="ListParagraph"/>
              <w:ind w:left="0"/>
              <w:jc w:val="center"/>
              <w:rPr>
                <w:rFonts w:cs="Times New Roman"/>
                <w:sz w:val="22"/>
              </w:rPr>
            </w:pPr>
            <w:r w:rsidRPr="00143ED1">
              <w:rPr>
                <w:rFonts w:cs="Times New Roman"/>
                <w:sz w:val="22"/>
              </w:rPr>
              <w:t>2.</w:t>
            </w: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Judul </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Pengaruh Pemberian Informasi melalui Media Film Animasi terhadap Peningkatan Perilaku Kesehatan Gigi dan Mulut pada Siswa SDN Kedondong, Kecamatan Sokaraja, Kabupaten Banyumas</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independent</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Media film animasi.</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dependen</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Peningkatan perilaku kesehatan gigi dan mulut.</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Metode </w:t>
            </w:r>
          </w:p>
        </w:tc>
        <w:tc>
          <w:tcPr>
            <w:tcW w:w="5575" w:type="dxa"/>
            <w:shd w:val="clear" w:color="auto" w:fill="auto"/>
          </w:tcPr>
          <w:p w:rsidR="00537852" w:rsidRPr="00143ED1" w:rsidRDefault="00537852" w:rsidP="00D14E09">
            <w:pPr>
              <w:contextualSpacing/>
              <w:jc w:val="both"/>
              <w:rPr>
                <w:rFonts w:cs="Times New Roman"/>
                <w:sz w:val="22"/>
                <w:lang w:eastAsia="en-ID"/>
              </w:rPr>
            </w:pPr>
            <w:r w:rsidRPr="00143ED1">
              <w:rPr>
                <w:rFonts w:cs="Times New Roman"/>
                <w:i/>
                <w:iCs/>
                <w:sz w:val="22"/>
                <w:lang w:eastAsia="en-ID"/>
              </w:rPr>
              <w:t>Pre-experimental design one group</w:t>
            </w:r>
            <w:r w:rsidRPr="00143ED1">
              <w:rPr>
                <w:rFonts w:cs="Times New Roman"/>
                <w:sz w:val="22"/>
                <w:lang w:eastAsia="en-ID"/>
              </w:rPr>
              <w:t xml:space="preserve"> </w:t>
            </w:r>
            <w:r w:rsidRPr="00143ED1">
              <w:rPr>
                <w:rFonts w:cs="Times New Roman"/>
                <w:i/>
                <w:iCs/>
                <w:sz w:val="22"/>
                <w:lang w:eastAsia="en-ID"/>
              </w:rPr>
              <w:t>pre-test – post-test</w:t>
            </w:r>
            <w:r w:rsidRPr="00143ED1">
              <w:rPr>
                <w:rFonts w:cs="Times New Roman"/>
                <w:sz w:val="22"/>
                <w:lang w:eastAsia="en-ID"/>
              </w:rPr>
              <w:t xml:space="preserve"> dengan pendekatan </w:t>
            </w:r>
            <w:r w:rsidRPr="00143ED1">
              <w:rPr>
                <w:rFonts w:cs="Times New Roman"/>
                <w:i/>
                <w:iCs/>
                <w:sz w:val="22"/>
                <w:lang w:eastAsia="en-ID"/>
              </w:rPr>
              <w:t>cross sectional</w:t>
            </w:r>
            <w:r w:rsidRPr="00143ED1">
              <w:rPr>
                <w:rFonts w:cs="Times New Roman"/>
                <w:sz w:val="22"/>
                <w:lang w:eastAsia="en-ID"/>
              </w:rPr>
              <w:t>. Populasi penelitian ini adalah seluruh siswa SDN Kedondong yang berjumlah 335 orang.</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Hasil </w:t>
            </w:r>
          </w:p>
        </w:tc>
        <w:tc>
          <w:tcPr>
            <w:tcW w:w="5575" w:type="dxa"/>
            <w:shd w:val="clear" w:color="auto" w:fill="auto"/>
          </w:tcPr>
          <w:p w:rsidR="00537852" w:rsidRPr="00143ED1" w:rsidRDefault="00537852" w:rsidP="00D14E09">
            <w:pPr>
              <w:contextualSpacing/>
              <w:jc w:val="both"/>
              <w:rPr>
                <w:rFonts w:cs="Times New Roman"/>
                <w:sz w:val="22"/>
                <w:lang w:eastAsia="en-ID"/>
              </w:rPr>
            </w:pPr>
            <w:r w:rsidRPr="00143ED1">
              <w:rPr>
                <w:rFonts w:cs="Times New Roman"/>
                <w:sz w:val="22"/>
                <w:lang w:eastAsia="en-ID"/>
              </w:rPr>
              <w:t>Pemberian informasi kesehatan gigi dan mulut dapat meningkatkan perilaku kesehatan gigi dan mulut (p&lt;0,005).</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Perbedaan dengan penelitian ini</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Terletak pada lokasi atau tempat, variabel dependen dan independennya berbeda.</w:t>
            </w:r>
          </w:p>
        </w:tc>
      </w:tr>
      <w:tr w:rsidR="00537852" w:rsidRPr="00143ED1" w:rsidTr="00D14E09">
        <w:tc>
          <w:tcPr>
            <w:tcW w:w="567" w:type="dxa"/>
          </w:tcPr>
          <w:p w:rsidR="00537852" w:rsidRPr="00143ED1" w:rsidRDefault="00537852" w:rsidP="00D14E09">
            <w:pPr>
              <w:pStyle w:val="ListParagraph"/>
              <w:ind w:left="0"/>
              <w:jc w:val="center"/>
              <w:rPr>
                <w:rFonts w:cs="Times New Roman"/>
                <w:sz w:val="22"/>
              </w:rPr>
            </w:pPr>
            <w:r w:rsidRPr="00143ED1">
              <w:rPr>
                <w:rFonts w:cs="Times New Roman"/>
                <w:sz w:val="22"/>
              </w:rPr>
              <w:t>3.</w:t>
            </w: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Judul </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The Effect of Audiovisual Dissemination on Students 13 - 14 Years Old to Oral Hygiene Status (P</w:t>
            </w:r>
            <w:r w:rsidRPr="00143ED1">
              <w:rPr>
                <w:rStyle w:val="jlqj4b"/>
                <w:rFonts w:cs="Times New Roman"/>
                <w:sz w:val="22"/>
              </w:rPr>
              <w:t>engaruh Sosialisasi Audiovisual pada Siswa Berusia 13 – 14 Tahun terhadap Status Kebersihan Gigi dan Mulut)</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independent</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Sosialisasi audiovisual.</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Variable dependent </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Status kebersihan gigi dan mulut.</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Metode </w:t>
            </w:r>
          </w:p>
        </w:tc>
        <w:tc>
          <w:tcPr>
            <w:tcW w:w="5575" w:type="dxa"/>
          </w:tcPr>
          <w:p w:rsidR="00537852" w:rsidRPr="00143ED1" w:rsidRDefault="00537852" w:rsidP="00D14E09">
            <w:pPr>
              <w:contextualSpacing/>
              <w:jc w:val="both"/>
              <w:rPr>
                <w:rFonts w:cs="Times New Roman"/>
                <w:sz w:val="22"/>
              </w:rPr>
            </w:pPr>
            <w:r w:rsidRPr="00143ED1">
              <w:rPr>
                <w:rFonts w:cs="Times New Roman"/>
                <w:i/>
                <w:iCs/>
                <w:sz w:val="22"/>
              </w:rPr>
              <w:t>Quasy experimental one group pre test and post test design</w:t>
            </w:r>
            <w:r w:rsidRPr="00143ED1">
              <w:rPr>
                <w:rFonts w:cs="Times New Roman"/>
                <w:sz w:val="22"/>
              </w:rPr>
              <w:t xml:space="preserve"> pada 60 subyek di ICBB. Penilaian </w:t>
            </w:r>
            <w:r w:rsidRPr="00143ED1">
              <w:rPr>
                <w:rFonts w:cs="Times New Roman"/>
                <w:i/>
                <w:iCs/>
                <w:sz w:val="22"/>
              </w:rPr>
              <w:t>pre-test</w:t>
            </w:r>
            <w:r w:rsidRPr="00143ED1">
              <w:rPr>
                <w:rFonts w:cs="Times New Roman"/>
                <w:sz w:val="22"/>
              </w:rPr>
              <w:t xml:space="preserve"> dan </w:t>
            </w:r>
            <w:r w:rsidRPr="00143ED1">
              <w:rPr>
                <w:rFonts w:cs="Times New Roman"/>
                <w:i/>
                <w:iCs/>
                <w:sz w:val="22"/>
              </w:rPr>
              <w:t>post-test</w:t>
            </w:r>
            <w:r w:rsidRPr="00143ED1">
              <w:rPr>
                <w:rFonts w:cs="Times New Roman"/>
                <w:sz w:val="22"/>
              </w:rPr>
              <w:t xml:space="preserve"> meliputi pengukuran status kebersihan gigi dan mulut sebelum dan setelah penyuluhan. Studi ini berlangsung selama 35 hari dengan tiga kali pengulangan penyuluhan </w:t>
            </w:r>
            <w:r w:rsidRPr="00143ED1">
              <w:rPr>
                <w:rFonts w:cs="Times New Roman"/>
                <w:sz w:val="22"/>
              </w:rPr>
              <w:lastRenderedPageBreak/>
              <w:t>setiap 14 hari. Analisis data menggunakan uji Paired Sample T-Test.</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Hasil</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Rata-rata status kebersihan gigi menggunakan Oral Hygiene Status Index (OHI-S) menurun dari 2,58 menjadi 0,96. Hasil penelitian dengan menggunakan uji Paired Sample T-Test didapatkan nilai p 0,000 (p&lt;0,05) berarti terdapat pengaruh penyuluhan media audiovisual terhadap status kebersihan gigi dan mulut OHI-S sebelum dan setelah diberikan penyuluhan.</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Perbedaan dengan penelitian ini</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Terletak pada lokasi atau tempat, variabel dependen dan independennya berbeda.</w:t>
            </w:r>
          </w:p>
        </w:tc>
      </w:tr>
      <w:tr w:rsidR="00537852" w:rsidRPr="00143ED1" w:rsidTr="00D14E09">
        <w:tc>
          <w:tcPr>
            <w:tcW w:w="567" w:type="dxa"/>
          </w:tcPr>
          <w:p w:rsidR="00537852" w:rsidRPr="00143ED1" w:rsidRDefault="00537852" w:rsidP="00D14E09">
            <w:pPr>
              <w:pStyle w:val="ListParagraph"/>
              <w:ind w:left="0"/>
              <w:rPr>
                <w:rFonts w:cs="Times New Roman"/>
                <w:sz w:val="22"/>
              </w:rPr>
            </w:pPr>
            <w:r w:rsidRPr="00143ED1">
              <w:rPr>
                <w:rFonts w:cs="Times New Roman"/>
                <w:sz w:val="22"/>
              </w:rPr>
              <w:t>4.</w:t>
            </w: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Judul</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Efektivitas Edukasi Kesehatan Menggunakan Permainan Tebak Gambar dan Audiovisual terhadap Pemahaman Kesehatan Gigi dan Mulut</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independen</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Permainan tebak gambar dan Audiovisual.</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dependen</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Pemahaman kesehatan gigi dan mulut.</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Metode </w:t>
            </w:r>
          </w:p>
        </w:tc>
        <w:tc>
          <w:tcPr>
            <w:tcW w:w="5575" w:type="dxa"/>
          </w:tcPr>
          <w:p w:rsidR="00537852" w:rsidRPr="00143ED1" w:rsidRDefault="00537852" w:rsidP="00D14E09">
            <w:pPr>
              <w:contextualSpacing/>
              <w:jc w:val="both"/>
              <w:rPr>
                <w:rFonts w:cs="Times New Roman"/>
                <w:sz w:val="22"/>
              </w:rPr>
            </w:pPr>
            <w:r w:rsidRPr="00143ED1">
              <w:rPr>
                <w:rFonts w:cs="Times New Roman"/>
                <w:i/>
                <w:iCs/>
                <w:sz w:val="22"/>
              </w:rPr>
              <w:t>Quasi eksperimen</w:t>
            </w:r>
            <w:r w:rsidRPr="00143ED1">
              <w:rPr>
                <w:rFonts w:cs="Times New Roman"/>
                <w:sz w:val="22"/>
              </w:rPr>
              <w:t xml:space="preserve"> dengan pendekatan </w:t>
            </w:r>
            <w:r w:rsidRPr="00143ED1">
              <w:rPr>
                <w:rFonts w:cs="Times New Roman"/>
                <w:i/>
                <w:iCs/>
                <w:sz w:val="22"/>
              </w:rPr>
              <w:t>non-equivalent control group design with Pre-test &amp; Post-test design</w:t>
            </w:r>
            <w:r w:rsidRPr="00143ED1">
              <w:rPr>
                <w:rFonts w:cs="Times New Roman"/>
                <w:sz w:val="22"/>
              </w:rPr>
              <w:t xml:space="preserve"> dengan sampel yaitu 60 orang. Untuk kelompok metode audiovisual sebanyak 30 responden dan untuk kelompok permainan tebak gambar sebanyak 30 responden dengan menggunakan </w:t>
            </w:r>
            <w:r w:rsidRPr="00143ED1">
              <w:rPr>
                <w:rFonts w:cs="Times New Roman"/>
                <w:i/>
                <w:iCs/>
                <w:sz w:val="22"/>
              </w:rPr>
              <w:t>purposive sampling</w:t>
            </w:r>
            <w:r w:rsidRPr="00143ED1">
              <w:rPr>
                <w:rFonts w:cs="Times New Roman"/>
                <w:sz w:val="22"/>
              </w:rPr>
              <w:t xml:space="preserve">. Teknik pengumpulan data menggunakan lembar kuesioner. Analisa data menggunakan uji statistik uji </w:t>
            </w:r>
            <w:r w:rsidRPr="00143ED1">
              <w:rPr>
                <w:rFonts w:cs="Times New Roman"/>
                <w:i/>
                <w:iCs/>
                <w:sz w:val="22"/>
              </w:rPr>
              <w:t>wilcoxon signed rank test</w:t>
            </w:r>
            <w:r w:rsidRPr="00143ED1">
              <w:rPr>
                <w:rFonts w:cs="Times New Roman"/>
                <w:sz w:val="22"/>
              </w:rPr>
              <w:t xml:space="preserve"> dan uji </w:t>
            </w:r>
            <w:r w:rsidRPr="00143ED1">
              <w:rPr>
                <w:rFonts w:cs="Times New Roman"/>
                <w:i/>
                <w:iCs/>
                <w:sz w:val="22"/>
              </w:rPr>
              <w:t>mann whitney test</w:t>
            </w:r>
            <w:r w:rsidRPr="00143ED1">
              <w:rPr>
                <w:rFonts w:cs="Times New Roman"/>
                <w:sz w:val="22"/>
              </w:rPr>
              <w:t>.</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Hasil </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Terdapat perbedaan yang signifikan antara pemahaman tentang kesehatan gigi dan mulut sebelum dan sesudah diberikan penyuluhan kesehatan dengan metode audiovisual (p value = 0,015) dan permainan tebak gambar (p value = 0,010) serta perbedaan diantara kedua pengguna metode penyuluhan kesehatan (p value = 0,011). Jadi, Metode audiovisual dan permainan tebak gambar sama - sama efektifnya untuk meningkatkan pemahaman tentang kesehatan gigi dan mulut pada siswa kelas IV SDN Muncul 3. Namun, jika dibandingkan kedua metode ini, metode permainan tebak gambar lebih dapat meningkatkan pemahaman siswa.</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Perbedaan dengan penelitian ini</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Terletak pada lokasi atau tempat, variabel independennya berbeda.</w:t>
            </w:r>
          </w:p>
        </w:tc>
      </w:tr>
      <w:tr w:rsidR="00537852" w:rsidRPr="00143ED1" w:rsidTr="00D14E09">
        <w:tc>
          <w:tcPr>
            <w:tcW w:w="567" w:type="dxa"/>
          </w:tcPr>
          <w:p w:rsidR="00537852" w:rsidRPr="00143ED1" w:rsidRDefault="00537852" w:rsidP="00D14E09">
            <w:pPr>
              <w:pStyle w:val="ListParagraph"/>
              <w:ind w:left="0"/>
              <w:rPr>
                <w:rFonts w:cs="Times New Roman"/>
                <w:sz w:val="22"/>
              </w:rPr>
            </w:pPr>
            <w:r w:rsidRPr="00143ED1">
              <w:rPr>
                <w:rFonts w:cs="Times New Roman"/>
                <w:sz w:val="22"/>
              </w:rPr>
              <w:t>5.</w:t>
            </w: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Judul</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Efektivitas Dental Health Education Menggunakan Media Audio Visual dalam Meningkatkan Pengetahuan Siswa Sekolah Dasar</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independen</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Media audio visual.</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Variable dependen</w:t>
            </w:r>
          </w:p>
        </w:tc>
        <w:tc>
          <w:tcPr>
            <w:tcW w:w="5575" w:type="dxa"/>
          </w:tcPr>
          <w:p w:rsidR="00537852" w:rsidRPr="00143ED1" w:rsidRDefault="00537852" w:rsidP="00D14E09">
            <w:pPr>
              <w:contextualSpacing/>
              <w:jc w:val="both"/>
              <w:rPr>
                <w:rFonts w:cs="Times New Roman"/>
                <w:sz w:val="22"/>
              </w:rPr>
            </w:pPr>
            <w:r w:rsidRPr="00143ED1">
              <w:rPr>
                <w:rFonts w:cs="Times New Roman"/>
                <w:sz w:val="22"/>
              </w:rPr>
              <w:t>Pengetahuan siswa sekolah dasar.</w:t>
            </w:r>
          </w:p>
        </w:tc>
      </w:tr>
      <w:tr w:rsidR="00537852" w:rsidRPr="00143ED1" w:rsidTr="00D14E09">
        <w:tc>
          <w:tcPr>
            <w:tcW w:w="567" w:type="dxa"/>
          </w:tcPr>
          <w:p w:rsidR="00537852" w:rsidRPr="00143ED1" w:rsidRDefault="00537852" w:rsidP="00D14E09">
            <w:pPr>
              <w:pStyle w:val="ListParagraph"/>
              <w:ind w:left="0"/>
              <w:rPr>
                <w:rFonts w:cs="Times New Roman"/>
                <w:sz w:val="22"/>
              </w:rPr>
            </w:pPr>
          </w:p>
        </w:tc>
        <w:tc>
          <w:tcPr>
            <w:tcW w:w="1593" w:type="dxa"/>
          </w:tcPr>
          <w:p w:rsidR="00537852" w:rsidRPr="00143ED1" w:rsidRDefault="00537852" w:rsidP="00D14E09">
            <w:pPr>
              <w:pStyle w:val="ListParagraph"/>
              <w:ind w:left="0"/>
              <w:jc w:val="center"/>
              <w:rPr>
                <w:rFonts w:cs="Times New Roman"/>
                <w:sz w:val="22"/>
              </w:rPr>
            </w:pPr>
            <w:r w:rsidRPr="00143ED1">
              <w:rPr>
                <w:rFonts w:cs="Times New Roman"/>
                <w:sz w:val="22"/>
              </w:rPr>
              <w:t xml:space="preserve">Metode </w:t>
            </w:r>
          </w:p>
        </w:tc>
        <w:tc>
          <w:tcPr>
            <w:tcW w:w="5575" w:type="dxa"/>
            <w:tcBorders>
              <w:bottom w:val="single" w:sz="4" w:space="0" w:color="auto"/>
            </w:tcBorders>
          </w:tcPr>
          <w:p w:rsidR="00537852" w:rsidRPr="00143ED1" w:rsidRDefault="00537852" w:rsidP="00D14E09">
            <w:pPr>
              <w:contextualSpacing/>
              <w:jc w:val="both"/>
              <w:rPr>
                <w:rFonts w:cs="Times New Roman"/>
                <w:sz w:val="22"/>
              </w:rPr>
            </w:pPr>
            <w:r w:rsidRPr="00143ED1">
              <w:rPr>
                <w:rFonts w:cs="Times New Roman"/>
                <w:i/>
                <w:iCs/>
                <w:sz w:val="22"/>
              </w:rPr>
              <w:t>Literature review</w:t>
            </w:r>
            <w:r w:rsidRPr="00143ED1">
              <w:rPr>
                <w:rFonts w:cs="Times New Roman"/>
                <w:sz w:val="22"/>
              </w:rPr>
              <w:t xml:space="preserve"> dengan menggunakan empat </w:t>
            </w:r>
            <w:r w:rsidRPr="00143ED1">
              <w:rPr>
                <w:rFonts w:cs="Times New Roman"/>
                <w:i/>
                <w:iCs/>
                <w:sz w:val="22"/>
              </w:rPr>
              <w:t>database</w:t>
            </w:r>
            <w:r w:rsidRPr="00143ED1">
              <w:rPr>
                <w:rFonts w:cs="Times New Roman"/>
                <w:sz w:val="22"/>
              </w:rPr>
              <w:t xml:space="preserve"> yaitu </w:t>
            </w:r>
            <w:r w:rsidRPr="00143ED1">
              <w:rPr>
                <w:rFonts w:cs="Times New Roman"/>
                <w:i/>
                <w:iCs/>
                <w:sz w:val="22"/>
              </w:rPr>
              <w:t>PubMed</w:t>
            </w:r>
            <w:r w:rsidRPr="00143ED1">
              <w:rPr>
                <w:rFonts w:cs="Times New Roman"/>
                <w:sz w:val="22"/>
              </w:rPr>
              <w:t xml:space="preserve">, </w:t>
            </w:r>
            <w:r w:rsidRPr="00143ED1">
              <w:rPr>
                <w:rFonts w:cs="Times New Roman"/>
                <w:i/>
                <w:iCs/>
                <w:sz w:val="22"/>
              </w:rPr>
              <w:t>Google Scholar</w:t>
            </w:r>
            <w:r w:rsidRPr="00143ED1">
              <w:rPr>
                <w:rFonts w:cs="Times New Roman"/>
                <w:sz w:val="22"/>
              </w:rPr>
              <w:t xml:space="preserve">, </w:t>
            </w:r>
            <w:r w:rsidRPr="00143ED1">
              <w:rPr>
                <w:rFonts w:cs="Times New Roman"/>
                <w:i/>
                <w:iCs/>
                <w:sz w:val="22"/>
              </w:rPr>
              <w:t>Science Direct</w:t>
            </w:r>
            <w:r w:rsidRPr="00143ED1">
              <w:rPr>
                <w:rFonts w:cs="Times New Roman"/>
                <w:sz w:val="22"/>
              </w:rPr>
              <w:t xml:space="preserve">, dan </w:t>
            </w:r>
            <w:r w:rsidRPr="00143ED1">
              <w:rPr>
                <w:rFonts w:cs="Times New Roman"/>
                <w:i/>
                <w:iCs/>
                <w:sz w:val="22"/>
              </w:rPr>
              <w:t>Clinical Key</w:t>
            </w:r>
            <w:r w:rsidRPr="00143ED1">
              <w:rPr>
                <w:rFonts w:cs="Times New Roman"/>
                <w:sz w:val="22"/>
              </w:rPr>
              <w:t xml:space="preserve">. Literatur yang diperoleh kemudian diseleksi sesuai </w:t>
            </w:r>
            <w:r w:rsidRPr="00143ED1">
              <w:rPr>
                <w:rFonts w:cs="Times New Roman"/>
                <w:sz w:val="22"/>
              </w:rPr>
              <w:lastRenderedPageBreak/>
              <w:t xml:space="preserve">dengan kriteria inklusi dan eksklusi serta dilakukan </w:t>
            </w:r>
            <w:r w:rsidRPr="00143ED1">
              <w:rPr>
                <w:rFonts w:cs="Times New Roman"/>
                <w:i/>
                <w:iCs/>
                <w:sz w:val="22"/>
              </w:rPr>
              <w:t>critical appraisal</w:t>
            </w:r>
            <w:r w:rsidRPr="00143ED1">
              <w:rPr>
                <w:rFonts w:cs="Times New Roman"/>
                <w:sz w:val="22"/>
              </w:rPr>
              <w:t xml:space="preserve"> untuk mendapat literatur yang relevan dan layak diteliti.</w:t>
            </w:r>
          </w:p>
        </w:tc>
      </w:tr>
      <w:tr w:rsidR="00537852" w:rsidRPr="00143ED1" w:rsidTr="00D14E09">
        <w:tc>
          <w:tcPr>
            <w:tcW w:w="567" w:type="dxa"/>
            <w:tcBorders>
              <w:bottom w:val="single" w:sz="4" w:space="0" w:color="auto"/>
            </w:tcBorders>
          </w:tcPr>
          <w:p w:rsidR="00537852" w:rsidRPr="00143ED1" w:rsidRDefault="00537852" w:rsidP="00D14E09">
            <w:pPr>
              <w:pStyle w:val="ListParagraph"/>
              <w:ind w:left="0"/>
              <w:rPr>
                <w:rFonts w:cs="Times New Roman"/>
                <w:sz w:val="22"/>
              </w:rPr>
            </w:pPr>
          </w:p>
        </w:tc>
        <w:tc>
          <w:tcPr>
            <w:tcW w:w="1593" w:type="dxa"/>
            <w:tcBorders>
              <w:bottom w:val="single" w:sz="4" w:space="0" w:color="auto"/>
            </w:tcBorders>
          </w:tcPr>
          <w:p w:rsidR="00537852" w:rsidRPr="00143ED1" w:rsidRDefault="00537852" w:rsidP="00D14E09">
            <w:pPr>
              <w:pStyle w:val="ListParagraph"/>
              <w:ind w:left="0"/>
              <w:jc w:val="center"/>
              <w:rPr>
                <w:rFonts w:cs="Times New Roman"/>
                <w:sz w:val="22"/>
              </w:rPr>
            </w:pPr>
            <w:r w:rsidRPr="00143ED1">
              <w:rPr>
                <w:rFonts w:cs="Times New Roman"/>
                <w:sz w:val="22"/>
              </w:rPr>
              <w:t xml:space="preserve">Hasil </w:t>
            </w:r>
          </w:p>
        </w:tc>
        <w:tc>
          <w:tcPr>
            <w:tcW w:w="5575" w:type="dxa"/>
            <w:tcBorders>
              <w:bottom w:val="single" w:sz="4" w:space="0" w:color="auto"/>
            </w:tcBorders>
          </w:tcPr>
          <w:p w:rsidR="00537852" w:rsidRPr="00143ED1" w:rsidRDefault="00537852" w:rsidP="00D14E09">
            <w:pPr>
              <w:contextualSpacing/>
              <w:jc w:val="both"/>
              <w:rPr>
                <w:rFonts w:cs="Times New Roman"/>
                <w:sz w:val="22"/>
              </w:rPr>
            </w:pPr>
            <w:r w:rsidRPr="00143ED1">
              <w:rPr>
                <w:rFonts w:cs="Times New Roman"/>
                <w:sz w:val="22"/>
              </w:rPr>
              <w:t xml:space="preserve">Setiap literatur mengemukakan bahwa terjadi peningkatan pengetahuan siswa setelah diberi </w:t>
            </w:r>
            <w:r w:rsidRPr="00143ED1">
              <w:rPr>
                <w:rFonts w:cs="Times New Roman"/>
                <w:i/>
                <w:iCs/>
                <w:sz w:val="22"/>
              </w:rPr>
              <w:t>DHE</w:t>
            </w:r>
            <w:r w:rsidRPr="00143ED1">
              <w:rPr>
                <w:rFonts w:cs="Times New Roman"/>
                <w:sz w:val="22"/>
              </w:rPr>
              <w:t xml:space="preserve"> menggunakan media audio visual. Alat audio visual merupakan alat yang dapat didengar dan dapat dilihat pada waktu yang bersamaan. Pemanfaatan indra pendengaran dan penglihatan dalam menerima pesan yang disampaikan dalam pemberian </w:t>
            </w:r>
            <w:r w:rsidRPr="00143ED1">
              <w:rPr>
                <w:rFonts w:cs="Times New Roman"/>
                <w:i/>
                <w:iCs/>
                <w:sz w:val="22"/>
              </w:rPr>
              <w:t>DHE</w:t>
            </w:r>
            <w:r w:rsidRPr="00143ED1">
              <w:rPr>
                <w:rFonts w:cs="Times New Roman"/>
                <w:sz w:val="22"/>
              </w:rPr>
              <w:t xml:space="preserve"> menjadi salah satu keunggulan media audio visual. Pengetahuan siswa sekolah dasar tentang kesehatan gigi dan mulut meningkat secara bermakna setelah pemberian </w:t>
            </w:r>
            <w:r w:rsidRPr="00143ED1">
              <w:rPr>
                <w:rFonts w:cs="Times New Roman"/>
                <w:i/>
                <w:iCs/>
                <w:sz w:val="22"/>
              </w:rPr>
              <w:t>dental health education</w:t>
            </w:r>
            <w:r w:rsidRPr="00143ED1">
              <w:rPr>
                <w:rFonts w:cs="Times New Roman"/>
                <w:sz w:val="22"/>
              </w:rPr>
              <w:t xml:space="preserve"> menggunakan media audio visual.</w:t>
            </w:r>
          </w:p>
        </w:tc>
      </w:tr>
      <w:tr w:rsidR="00537852" w:rsidRPr="00143ED1" w:rsidTr="00D14E09">
        <w:tc>
          <w:tcPr>
            <w:tcW w:w="567" w:type="dxa"/>
            <w:tcBorders>
              <w:bottom w:val="single" w:sz="4" w:space="0" w:color="auto"/>
            </w:tcBorders>
          </w:tcPr>
          <w:p w:rsidR="00537852" w:rsidRPr="00143ED1" w:rsidRDefault="00537852" w:rsidP="00D14E09">
            <w:pPr>
              <w:pStyle w:val="ListParagraph"/>
              <w:ind w:left="0"/>
              <w:rPr>
                <w:rFonts w:cs="Times New Roman"/>
                <w:sz w:val="22"/>
              </w:rPr>
            </w:pPr>
          </w:p>
        </w:tc>
        <w:tc>
          <w:tcPr>
            <w:tcW w:w="1593" w:type="dxa"/>
            <w:tcBorders>
              <w:bottom w:val="single" w:sz="4" w:space="0" w:color="auto"/>
            </w:tcBorders>
          </w:tcPr>
          <w:p w:rsidR="00537852" w:rsidRPr="00143ED1" w:rsidRDefault="00537852" w:rsidP="00D14E09">
            <w:pPr>
              <w:pStyle w:val="ListParagraph"/>
              <w:ind w:left="0"/>
              <w:jc w:val="center"/>
              <w:rPr>
                <w:rFonts w:cs="Times New Roman"/>
                <w:sz w:val="22"/>
              </w:rPr>
            </w:pPr>
            <w:r w:rsidRPr="00143ED1">
              <w:rPr>
                <w:rFonts w:cs="Times New Roman"/>
                <w:sz w:val="22"/>
              </w:rPr>
              <w:t>Perbedaan dengan penelitian ini</w:t>
            </w:r>
          </w:p>
        </w:tc>
        <w:tc>
          <w:tcPr>
            <w:tcW w:w="5575" w:type="dxa"/>
            <w:tcBorders>
              <w:top w:val="single" w:sz="4" w:space="0" w:color="auto"/>
              <w:bottom w:val="single" w:sz="4" w:space="0" w:color="auto"/>
            </w:tcBorders>
          </w:tcPr>
          <w:p w:rsidR="00537852" w:rsidRPr="00143ED1" w:rsidRDefault="00537852" w:rsidP="00D14E09">
            <w:pPr>
              <w:contextualSpacing/>
              <w:jc w:val="both"/>
              <w:rPr>
                <w:rFonts w:cs="Times New Roman"/>
                <w:sz w:val="22"/>
              </w:rPr>
            </w:pPr>
            <w:r w:rsidRPr="00143ED1">
              <w:rPr>
                <w:rFonts w:cs="Times New Roman"/>
                <w:sz w:val="22"/>
              </w:rPr>
              <w:t>Terletak pada lokasi atau tempat, variabel independennya berbeda.</w:t>
            </w:r>
          </w:p>
        </w:tc>
      </w:tr>
    </w:tbl>
    <w:p w:rsidR="00537852" w:rsidRPr="00143ED1" w:rsidRDefault="00537852" w:rsidP="00537852">
      <w:pPr>
        <w:pStyle w:val="ListParagraph"/>
        <w:ind w:left="360"/>
        <w:jc w:val="both"/>
        <w:rPr>
          <w:rFonts w:cs="Times New Roman"/>
          <w:b/>
          <w:bCs/>
        </w:rPr>
      </w:pPr>
    </w:p>
    <w:p w:rsidR="00537852" w:rsidRPr="00143ED1" w:rsidRDefault="00537852" w:rsidP="00537852">
      <w:pPr>
        <w:pStyle w:val="Heading2"/>
      </w:pPr>
      <w:bookmarkStart w:id="14" w:name="_Toc109663611"/>
      <w:r w:rsidRPr="00143ED1">
        <w:t>Ruang Lingkup</w:t>
      </w:r>
      <w:bookmarkEnd w:id="14"/>
    </w:p>
    <w:p w:rsidR="00537852" w:rsidRPr="00143ED1" w:rsidRDefault="00537852" w:rsidP="00537852">
      <w:pPr>
        <w:pStyle w:val="ListParagraph"/>
        <w:numPr>
          <w:ilvl w:val="0"/>
          <w:numId w:val="6"/>
        </w:numPr>
        <w:spacing w:line="480" w:lineRule="auto"/>
        <w:jc w:val="both"/>
        <w:rPr>
          <w:rFonts w:cs="Times New Roman"/>
          <w:szCs w:val="24"/>
        </w:rPr>
      </w:pPr>
      <w:r w:rsidRPr="00143ED1">
        <w:rPr>
          <w:rFonts w:cs="Times New Roman"/>
          <w:szCs w:val="24"/>
        </w:rPr>
        <w:t>Ruang Lingkup Waktu</w:t>
      </w:r>
    </w:p>
    <w:p w:rsidR="00537852" w:rsidRPr="00143ED1" w:rsidRDefault="00537852" w:rsidP="00537852">
      <w:pPr>
        <w:pStyle w:val="ListParagraph"/>
        <w:spacing w:line="480" w:lineRule="auto"/>
        <w:jc w:val="both"/>
        <w:rPr>
          <w:rFonts w:cs="Times New Roman"/>
          <w:szCs w:val="24"/>
        </w:rPr>
      </w:pPr>
      <w:r w:rsidRPr="00143ED1">
        <w:rPr>
          <w:rFonts w:cs="Times New Roman"/>
          <w:szCs w:val="24"/>
        </w:rPr>
        <w:t>Penelitian ini direncanakan dilaksanakan pada bulan Februari 2022.</w:t>
      </w:r>
    </w:p>
    <w:p w:rsidR="00537852" w:rsidRPr="00143ED1" w:rsidRDefault="00537852" w:rsidP="00537852">
      <w:pPr>
        <w:pStyle w:val="ListParagraph"/>
        <w:numPr>
          <w:ilvl w:val="0"/>
          <w:numId w:val="6"/>
        </w:numPr>
        <w:spacing w:line="480" w:lineRule="auto"/>
        <w:jc w:val="both"/>
        <w:rPr>
          <w:rFonts w:cs="Times New Roman"/>
          <w:szCs w:val="24"/>
        </w:rPr>
      </w:pPr>
      <w:r w:rsidRPr="00143ED1">
        <w:rPr>
          <w:rFonts w:cs="Times New Roman"/>
          <w:szCs w:val="24"/>
        </w:rPr>
        <w:t>Ruang Lingkup Tempat</w:t>
      </w:r>
    </w:p>
    <w:p w:rsidR="00537852" w:rsidRPr="00143ED1" w:rsidRDefault="00537852" w:rsidP="00537852">
      <w:pPr>
        <w:pStyle w:val="ListParagraph"/>
        <w:spacing w:line="480" w:lineRule="auto"/>
        <w:jc w:val="both"/>
        <w:rPr>
          <w:rFonts w:cs="Times New Roman"/>
          <w:szCs w:val="24"/>
        </w:rPr>
      </w:pPr>
      <w:r w:rsidRPr="00143ED1">
        <w:rPr>
          <w:rFonts w:cs="Times New Roman"/>
          <w:szCs w:val="24"/>
        </w:rPr>
        <w:t>Penelitian ini direncanakan menggunakan media sosial Instagram.</w:t>
      </w:r>
    </w:p>
    <w:p w:rsidR="00537852" w:rsidRPr="00143ED1" w:rsidRDefault="00537852" w:rsidP="00537852">
      <w:pPr>
        <w:pStyle w:val="ListParagraph"/>
        <w:numPr>
          <w:ilvl w:val="0"/>
          <w:numId w:val="6"/>
        </w:numPr>
        <w:spacing w:line="480" w:lineRule="auto"/>
        <w:jc w:val="both"/>
        <w:rPr>
          <w:rFonts w:cs="Times New Roman"/>
          <w:szCs w:val="24"/>
        </w:rPr>
      </w:pPr>
      <w:r w:rsidRPr="00143ED1">
        <w:rPr>
          <w:rFonts w:cs="Times New Roman"/>
          <w:szCs w:val="24"/>
        </w:rPr>
        <w:t>Ruang Lingkup Materi</w:t>
      </w:r>
      <w:r w:rsidRPr="00143ED1">
        <w:rPr>
          <w:rFonts w:cs="Times New Roman"/>
          <w:szCs w:val="24"/>
        </w:rPr>
        <w:tab/>
      </w:r>
    </w:p>
    <w:p w:rsidR="00537852" w:rsidRPr="00143ED1" w:rsidRDefault="00537852" w:rsidP="00537852">
      <w:pPr>
        <w:pStyle w:val="ListParagraph"/>
        <w:spacing w:line="480" w:lineRule="auto"/>
        <w:jc w:val="both"/>
        <w:rPr>
          <w:rFonts w:cs="Times New Roman"/>
          <w:szCs w:val="24"/>
        </w:rPr>
      </w:pPr>
      <w:r w:rsidRPr="00143ED1">
        <w:rPr>
          <w:rFonts w:cs="Times New Roman"/>
          <w:szCs w:val="24"/>
        </w:rPr>
        <w:t>Penelitian ini mengambil materi Pengaruh Video Animasi terhadap Peningkatan Perilaku Menjaga Kesehatan Gigi dengan Memanfaatkan Media Online.</w:t>
      </w:r>
      <w:r w:rsidRPr="00143ED1">
        <w:rPr>
          <w:rFonts w:cs="Times New Roman"/>
          <w:szCs w:val="24"/>
        </w:rPr>
        <w:br w:type="page"/>
      </w:r>
    </w:p>
    <w:p w:rsidR="00537852" w:rsidRPr="00143ED1" w:rsidRDefault="00537852" w:rsidP="00537852">
      <w:pPr>
        <w:pStyle w:val="Heading1"/>
        <w:sectPr w:rsidR="00537852" w:rsidRPr="00143ED1" w:rsidSect="00D539FB">
          <w:headerReference w:type="default" r:id="rId5"/>
          <w:footerReference w:type="default" r:id="rId6"/>
          <w:headerReference w:type="first" r:id="rId7"/>
          <w:footerReference w:type="first" r:id="rId8"/>
          <w:pgSz w:w="11906" w:h="16838" w:code="9"/>
          <w:pgMar w:top="1701" w:right="1701" w:bottom="1701" w:left="2268" w:header="709" w:footer="709" w:gutter="0"/>
          <w:pgNumType w:start="1"/>
          <w:cols w:space="708"/>
          <w:titlePg/>
          <w:docGrid w:linePitch="360"/>
        </w:sectPr>
      </w:pPr>
    </w:p>
    <w:p w:rsidR="00293424" w:rsidRDefault="00293424">
      <w:bookmarkStart w:id="15" w:name="_GoBack"/>
      <w:bookmarkEnd w:id="15"/>
    </w:p>
    <w:sectPr w:rsidR="002934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141" w:rsidRDefault="00537852">
    <w:pPr>
      <w:pStyle w:val="Footer"/>
      <w:jc w:val="center"/>
    </w:pPr>
  </w:p>
  <w:p w:rsidR="007D7141" w:rsidRDefault="005378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2001033643"/>
      <w:docPartObj>
        <w:docPartGallery w:val="Page Numbers (Bottom of Page)"/>
        <w:docPartUnique/>
      </w:docPartObj>
    </w:sdtPr>
    <w:sdtEndPr>
      <w:rPr>
        <w:noProof/>
      </w:rPr>
    </w:sdtEndPr>
    <w:sdtContent>
      <w:p w:rsidR="00D539FB" w:rsidRDefault="00537852">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rsidR="00D539FB" w:rsidRDefault="0053785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758557340"/>
      <w:docPartObj>
        <w:docPartGallery w:val="Page Numbers (Top of Page)"/>
        <w:docPartUnique/>
      </w:docPartObj>
    </w:sdtPr>
    <w:sdtEndPr>
      <w:rPr>
        <w:noProof/>
      </w:rPr>
    </w:sdtEndPr>
    <w:sdtContent>
      <w:p w:rsidR="007D7141" w:rsidRDefault="00537852">
        <w:pPr>
          <w:pStyle w:val="Header"/>
          <w:jc w:val="right"/>
        </w:pPr>
        <w:r>
          <w:rPr>
            <w:noProof w:val="0"/>
          </w:rPr>
          <w:fldChar w:fldCharType="begin"/>
        </w:r>
        <w:r>
          <w:instrText xml:space="preserve"> PAGE   \* MERGEFORMAT </w:instrText>
        </w:r>
        <w:r>
          <w:rPr>
            <w:noProof w:val="0"/>
          </w:rPr>
          <w:fldChar w:fldCharType="separate"/>
        </w:r>
        <w:r>
          <w:t>4</w:t>
        </w:r>
        <w:r>
          <w:fldChar w:fldCharType="end"/>
        </w:r>
      </w:p>
    </w:sdtContent>
  </w:sdt>
  <w:p w:rsidR="007D7141" w:rsidRDefault="005378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9FB" w:rsidRDefault="005378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F681A"/>
    <w:multiLevelType w:val="hybridMultilevel"/>
    <w:tmpl w:val="F8BE42D2"/>
    <w:lvl w:ilvl="0" w:tplc="02EC58C8">
      <w:start w:val="1"/>
      <w:numFmt w:val="decimal"/>
      <w:pStyle w:val="Heading3"/>
      <w:lvlText w:val="%1."/>
      <w:lvlJc w:val="left"/>
      <w:pPr>
        <w:ind w:left="717" w:hanging="360"/>
      </w:pPr>
      <w:rPr>
        <w:rFonts w:hint="default"/>
      </w:rPr>
    </w:lvl>
    <w:lvl w:ilvl="1" w:tplc="04210019">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
    <w:nsid w:val="14F3696F"/>
    <w:multiLevelType w:val="hybridMultilevel"/>
    <w:tmpl w:val="D5384F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AE7854"/>
    <w:multiLevelType w:val="hybridMultilevel"/>
    <w:tmpl w:val="08AE5A96"/>
    <w:lvl w:ilvl="0" w:tplc="B232B5A2">
      <w:start w:val="1"/>
      <w:numFmt w:val="upperLetter"/>
      <w:pStyle w:val="Heading2"/>
      <w:lvlText w:val="%1."/>
      <w:lvlJc w:val="left"/>
      <w:pPr>
        <w:ind w:left="357" w:hanging="357"/>
      </w:pPr>
      <w:rPr>
        <w:rFonts w:hint="default"/>
      </w:rPr>
    </w:lvl>
    <w:lvl w:ilvl="1" w:tplc="04210019">
      <w:start w:val="1"/>
      <w:numFmt w:val="lowerLetter"/>
      <w:lvlText w:val="%2."/>
      <w:lvlJc w:val="left"/>
      <w:pPr>
        <w:ind w:left="9000" w:hanging="360"/>
      </w:pPr>
    </w:lvl>
    <w:lvl w:ilvl="2" w:tplc="0421001B" w:tentative="1">
      <w:start w:val="1"/>
      <w:numFmt w:val="lowerRoman"/>
      <w:lvlText w:val="%3."/>
      <w:lvlJc w:val="right"/>
      <w:pPr>
        <w:ind w:left="9720" w:hanging="180"/>
      </w:pPr>
    </w:lvl>
    <w:lvl w:ilvl="3" w:tplc="0421000F" w:tentative="1">
      <w:start w:val="1"/>
      <w:numFmt w:val="decimal"/>
      <w:lvlText w:val="%4."/>
      <w:lvlJc w:val="left"/>
      <w:pPr>
        <w:ind w:left="10440" w:hanging="360"/>
      </w:pPr>
    </w:lvl>
    <w:lvl w:ilvl="4" w:tplc="04210019" w:tentative="1">
      <w:start w:val="1"/>
      <w:numFmt w:val="lowerLetter"/>
      <w:lvlText w:val="%5."/>
      <w:lvlJc w:val="left"/>
      <w:pPr>
        <w:ind w:left="11160" w:hanging="360"/>
      </w:pPr>
    </w:lvl>
    <w:lvl w:ilvl="5" w:tplc="0421001B" w:tentative="1">
      <w:start w:val="1"/>
      <w:numFmt w:val="lowerRoman"/>
      <w:lvlText w:val="%6."/>
      <w:lvlJc w:val="right"/>
      <w:pPr>
        <w:ind w:left="11880" w:hanging="180"/>
      </w:pPr>
    </w:lvl>
    <w:lvl w:ilvl="6" w:tplc="0421000F" w:tentative="1">
      <w:start w:val="1"/>
      <w:numFmt w:val="decimal"/>
      <w:lvlText w:val="%7."/>
      <w:lvlJc w:val="left"/>
      <w:pPr>
        <w:ind w:left="12600" w:hanging="360"/>
      </w:pPr>
    </w:lvl>
    <w:lvl w:ilvl="7" w:tplc="04210019" w:tentative="1">
      <w:start w:val="1"/>
      <w:numFmt w:val="lowerLetter"/>
      <w:lvlText w:val="%8."/>
      <w:lvlJc w:val="left"/>
      <w:pPr>
        <w:ind w:left="13320" w:hanging="360"/>
      </w:pPr>
    </w:lvl>
    <w:lvl w:ilvl="8" w:tplc="0421001B" w:tentative="1">
      <w:start w:val="1"/>
      <w:numFmt w:val="lowerRoman"/>
      <w:lvlText w:val="%9."/>
      <w:lvlJc w:val="right"/>
      <w:pPr>
        <w:ind w:left="14040" w:hanging="180"/>
      </w:pPr>
    </w:lvl>
  </w:abstractNum>
  <w:abstractNum w:abstractNumId="3">
    <w:nsid w:val="2C656B9A"/>
    <w:multiLevelType w:val="hybridMultilevel"/>
    <w:tmpl w:val="86FCDCE0"/>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52332EC1"/>
    <w:multiLevelType w:val="hybridMultilevel"/>
    <w:tmpl w:val="F06601CE"/>
    <w:lvl w:ilvl="0" w:tplc="031461B6">
      <w:start w:val="1"/>
      <w:numFmt w:val="lowerLetter"/>
      <w:lvlText w:val="%1."/>
      <w:lvlJc w:val="left"/>
      <w:pPr>
        <w:tabs>
          <w:tab w:val="num" w:pos="1071"/>
        </w:tabs>
        <w:ind w:left="1071" w:hanging="357"/>
      </w:pPr>
      <w:rPr>
        <w:rFonts w:hint="default"/>
      </w:rPr>
    </w:lvl>
    <w:lvl w:ilvl="1" w:tplc="04210019" w:tentative="1">
      <w:start w:val="1"/>
      <w:numFmt w:val="lowerLetter"/>
      <w:lvlText w:val="%2."/>
      <w:lvlJc w:val="left"/>
      <w:pPr>
        <w:ind w:left="-898" w:hanging="360"/>
      </w:pPr>
    </w:lvl>
    <w:lvl w:ilvl="2" w:tplc="0421001B" w:tentative="1">
      <w:start w:val="1"/>
      <w:numFmt w:val="lowerRoman"/>
      <w:lvlText w:val="%3."/>
      <w:lvlJc w:val="right"/>
      <w:pPr>
        <w:ind w:left="-178" w:hanging="180"/>
      </w:pPr>
    </w:lvl>
    <w:lvl w:ilvl="3" w:tplc="0421000F" w:tentative="1">
      <w:start w:val="1"/>
      <w:numFmt w:val="decimal"/>
      <w:lvlText w:val="%4."/>
      <w:lvlJc w:val="left"/>
      <w:pPr>
        <w:ind w:left="542" w:hanging="360"/>
      </w:pPr>
    </w:lvl>
    <w:lvl w:ilvl="4" w:tplc="04210019" w:tentative="1">
      <w:start w:val="1"/>
      <w:numFmt w:val="lowerLetter"/>
      <w:lvlText w:val="%5."/>
      <w:lvlJc w:val="left"/>
      <w:pPr>
        <w:ind w:left="1262" w:hanging="360"/>
      </w:pPr>
    </w:lvl>
    <w:lvl w:ilvl="5" w:tplc="0421001B" w:tentative="1">
      <w:start w:val="1"/>
      <w:numFmt w:val="lowerRoman"/>
      <w:lvlText w:val="%6."/>
      <w:lvlJc w:val="right"/>
      <w:pPr>
        <w:ind w:left="1982" w:hanging="180"/>
      </w:pPr>
    </w:lvl>
    <w:lvl w:ilvl="6" w:tplc="0421000F" w:tentative="1">
      <w:start w:val="1"/>
      <w:numFmt w:val="decimal"/>
      <w:lvlText w:val="%7."/>
      <w:lvlJc w:val="left"/>
      <w:pPr>
        <w:ind w:left="2702" w:hanging="360"/>
      </w:pPr>
    </w:lvl>
    <w:lvl w:ilvl="7" w:tplc="04210019" w:tentative="1">
      <w:start w:val="1"/>
      <w:numFmt w:val="lowerLetter"/>
      <w:lvlText w:val="%8."/>
      <w:lvlJc w:val="left"/>
      <w:pPr>
        <w:ind w:left="3422" w:hanging="360"/>
      </w:pPr>
    </w:lvl>
    <w:lvl w:ilvl="8" w:tplc="0421001B" w:tentative="1">
      <w:start w:val="1"/>
      <w:numFmt w:val="lowerRoman"/>
      <w:lvlText w:val="%9."/>
      <w:lvlJc w:val="right"/>
      <w:pPr>
        <w:ind w:left="4142" w:hanging="180"/>
      </w:pPr>
    </w:lvl>
  </w:abstractNum>
  <w:num w:numId="1">
    <w:abstractNumId w:val="3"/>
  </w:num>
  <w:num w:numId="2">
    <w:abstractNumId w:val="2"/>
  </w:num>
  <w:num w:numId="3">
    <w:abstractNumId w:val="0"/>
  </w:num>
  <w:num w:numId="4">
    <w:abstractNumId w:val="4"/>
  </w:num>
  <w:num w:numId="5">
    <w:abstractNumId w:val="0"/>
    <w:lvlOverride w:ilvl="0">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4F"/>
    <w:rsid w:val="00293424"/>
    <w:rsid w:val="00537852"/>
    <w:rsid w:val="007E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CEB0C-F8BF-4A07-A67C-18F765E1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852"/>
    <w:pPr>
      <w:spacing w:after="0" w:line="240" w:lineRule="auto"/>
    </w:pPr>
    <w:rPr>
      <w:rFonts w:ascii="Times New Roman" w:hAnsi="Times New Roman"/>
      <w:noProof/>
      <w:sz w:val="24"/>
      <w:lang w:val="id-ID"/>
    </w:rPr>
  </w:style>
  <w:style w:type="paragraph" w:styleId="Heading1">
    <w:name w:val="heading 1"/>
    <w:basedOn w:val="Normal"/>
    <w:next w:val="Normal"/>
    <w:link w:val="Heading1Char"/>
    <w:autoRedefine/>
    <w:uiPriority w:val="9"/>
    <w:qFormat/>
    <w:rsid w:val="00537852"/>
    <w:pPr>
      <w:keepNext/>
      <w:keepLines/>
      <w:spacing w:line="480" w:lineRule="auto"/>
      <w:contextualSpacing/>
      <w:jc w:val="center"/>
      <w:outlineLvl w:val="0"/>
    </w:pPr>
    <w:rPr>
      <w:rFonts w:eastAsiaTheme="majorEastAsia" w:cstheme="majorBidi"/>
      <w:b/>
      <w:color w:val="000000" w:themeColor="text1"/>
      <w:szCs w:val="24"/>
    </w:rPr>
  </w:style>
  <w:style w:type="paragraph" w:styleId="Heading2">
    <w:name w:val="heading 2"/>
    <w:basedOn w:val="Normal"/>
    <w:next w:val="Normal"/>
    <w:link w:val="Heading2Char"/>
    <w:autoRedefine/>
    <w:uiPriority w:val="9"/>
    <w:unhideWhenUsed/>
    <w:qFormat/>
    <w:rsid w:val="00537852"/>
    <w:pPr>
      <w:keepNext/>
      <w:keepLines/>
      <w:numPr>
        <w:numId w:val="2"/>
      </w:numPr>
      <w:spacing w:line="480"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537852"/>
    <w:pPr>
      <w:keepNext/>
      <w:keepLines/>
      <w:numPr>
        <w:numId w:val="3"/>
      </w:numPr>
      <w:spacing w:line="360" w:lineRule="auto"/>
      <w:jc w:val="both"/>
      <w:outlineLvl w:val="2"/>
    </w:pPr>
    <w:rPr>
      <w:rFonts w:eastAsiaTheme="majorEastAsia" w:cstheme="majorBidi"/>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852"/>
    <w:rPr>
      <w:rFonts w:ascii="Times New Roman" w:eastAsiaTheme="majorEastAsia" w:hAnsi="Times New Roman" w:cstheme="majorBidi"/>
      <w:b/>
      <w:noProof/>
      <w:color w:val="000000" w:themeColor="text1"/>
      <w:sz w:val="24"/>
      <w:szCs w:val="24"/>
      <w:lang w:val="id-ID"/>
    </w:rPr>
  </w:style>
  <w:style w:type="character" w:customStyle="1" w:styleId="Heading2Char">
    <w:name w:val="Heading 2 Char"/>
    <w:basedOn w:val="DefaultParagraphFont"/>
    <w:link w:val="Heading2"/>
    <w:uiPriority w:val="9"/>
    <w:rsid w:val="00537852"/>
    <w:rPr>
      <w:rFonts w:ascii="Times New Roman" w:eastAsiaTheme="majorEastAsia" w:hAnsi="Times New Roman" w:cstheme="majorBidi"/>
      <w:b/>
      <w:noProof/>
      <w:color w:val="000000" w:themeColor="text1"/>
      <w:sz w:val="24"/>
      <w:szCs w:val="26"/>
      <w:lang w:val="id-ID"/>
    </w:rPr>
  </w:style>
  <w:style w:type="character" w:customStyle="1" w:styleId="Heading3Char">
    <w:name w:val="Heading 3 Char"/>
    <w:basedOn w:val="DefaultParagraphFont"/>
    <w:link w:val="Heading3"/>
    <w:uiPriority w:val="9"/>
    <w:rsid w:val="00537852"/>
    <w:rPr>
      <w:rFonts w:ascii="Times New Roman" w:eastAsiaTheme="majorEastAsia" w:hAnsi="Times New Roman" w:cstheme="majorBidi"/>
      <w:bCs/>
      <w:noProof/>
      <w:color w:val="000000" w:themeColor="text1"/>
      <w:sz w:val="24"/>
      <w:szCs w:val="24"/>
      <w:lang w:val="id-ID"/>
    </w:rPr>
  </w:style>
  <w:style w:type="paragraph" w:styleId="ListParagraph">
    <w:name w:val="List Paragraph"/>
    <w:basedOn w:val="Normal"/>
    <w:uiPriority w:val="34"/>
    <w:qFormat/>
    <w:rsid w:val="00537852"/>
    <w:pPr>
      <w:ind w:left="720"/>
      <w:contextualSpacing/>
    </w:pPr>
  </w:style>
  <w:style w:type="paragraph" w:styleId="Header">
    <w:name w:val="header"/>
    <w:basedOn w:val="Normal"/>
    <w:link w:val="HeaderChar"/>
    <w:uiPriority w:val="99"/>
    <w:unhideWhenUsed/>
    <w:rsid w:val="00537852"/>
    <w:pPr>
      <w:tabs>
        <w:tab w:val="center" w:pos="4513"/>
        <w:tab w:val="right" w:pos="9026"/>
      </w:tabs>
    </w:pPr>
  </w:style>
  <w:style w:type="character" w:customStyle="1" w:styleId="HeaderChar">
    <w:name w:val="Header Char"/>
    <w:basedOn w:val="DefaultParagraphFont"/>
    <w:link w:val="Header"/>
    <w:uiPriority w:val="99"/>
    <w:rsid w:val="00537852"/>
    <w:rPr>
      <w:rFonts w:ascii="Times New Roman" w:hAnsi="Times New Roman"/>
      <w:noProof/>
      <w:sz w:val="24"/>
      <w:lang w:val="id-ID"/>
    </w:rPr>
  </w:style>
  <w:style w:type="paragraph" w:styleId="Footer">
    <w:name w:val="footer"/>
    <w:basedOn w:val="Normal"/>
    <w:link w:val="FooterChar"/>
    <w:uiPriority w:val="99"/>
    <w:unhideWhenUsed/>
    <w:rsid w:val="00537852"/>
    <w:pPr>
      <w:tabs>
        <w:tab w:val="center" w:pos="4513"/>
        <w:tab w:val="right" w:pos="9026"/>
      </w:tabs>
    </w:pPr>
  </w:style>
  <w:style w:type="character" w:customStyle="1" w:styleId="FooterChar">
    <w:name w:val="Footer Char"/>
    <w:basedOn w:val="DefaultParagraphFont"/>
    <w:link w:val="Footer"/>
    <w:uiPriority w:val="99"/>
    <w:rsid w:val="00537852"/>
    <w:rPr>
      <w:rFonts w:ascii="Times New Roman" w:hAnsi="Times New Roman"/>
      <w:noProof/>
      <w:sz w:val="24"/>
      <w:lang w:val="id-ID"/>
    </w:rPr>
  </w:style>
  <w:style w:type="table" w:styleId="TableGrid">
    <w:name w:val="Table Grid"/>
    <w:basedOn w:val="TableNormal"/>
    <w:uiPriority w:val="59"/>
    <w:rsid w:val="00537852"/>
    <w:pPr>
      <w:spacing w:after="0" w:line="240" w:lineRule="auto"/>
    </w:pPr>
    <w:rPr>
      <w:rFonts w:ascii="Times New Roman" w:hAnsi="Times New Roman"/>
      <w:sz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537852"/>
  </w:style>
  <w:style w:type="paragraph" w:styleId="Caption">
    <w:name w:val="caption"/>
    <w:basedOn w:val="Normal"/>
    <w:next w:val="Normal"/>
    <w:uiPriority w:val="35"/>
    <w:unhideWhenUsed/>
    <w:qFormat/>
    <w:rsid w:val="0053785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6047</Words>
  <Characters>34470</Characters>
  <Application>Microsoft Office Word</Application>
  <DocSecurity>0</DocSecurity>
  <Lines>287</Lines>
  <Paragraphs>80</Paragraphs>
  <ScaleCrop>false</ScaleCrop>
  <Company/>
  <LinksUpToDate>false</LinksUpToDate>
  <CharactersWithSpaces>40437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2022-10-14T06:34:00Z</dcterms:created>
  <dcterms:modified xsi:type="dcterms:W3CDTF">2022-10-14T06:34:00Z</dcterms:modified>
</cp:coreProperties>
</file>