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597" w:rsidRDefault="00781597" w:rsidP="00781597">
      <w:pPr>
        <w:pStyle w:val="Heading1"/>
        <w:spacing w:before="0" w:line="480" w:lineRule="auto"/>
        <w:jc w:val="center"/>
        <w:rPr>
          <w:rFonts w:ascii="Times New Roman" w:hAnsi="Times New Roman" w:cs="Times New Roman"/>
          <w:b/>
          <w:color w:val="auto"/>
          <w:sz w:val="24"/>
          <w:szCs w:val="24"/>
        </w:rPr>
      </w:pPr>
      <w:bookmarkStart w:id="0" w:name="_Toc107576274"/>
      <w:r w:rsidRPr="00D2574D">
        <w:rPr>
          <w:rFonts w:ascii="Times New Roman" w:hAnsi="Times New Roman" w:cs="Times New Roman"/>
          <w:b/>
          <w:color w:val="auto"/>
          <w:sz w:val="24"/>
          <w:szCs w:val="24"/>
        </w:rPr>
        <w:t>BAB II</w:t>
      </w:r>
      <w:bookmarkStart w:id="1" w:name="_Toc95936731"/>
      <w:bookmarkStart w:id="2" w:name="_Toc95936733"/>
      <w:bookmarkEnd w:id="0"/>
      <w:bookmarkEnd w:id="1"/>
      <w:r w:rsidRPr="00D2574D">
        <w:rPr>
          <w:rFonts w:ascii="Times New Roman" w:hAnsi="Times New Roman" w:cs="Times New Roman"/>
          <w:b/>
          <w:color w:val="auto"/>
          <w:sz w:val="24"/>
          <w:szCs w:val="24"/>
        </w:rPr>
        <w:t xml:space="preserve"> </w:t>
      </w:r>
    </w:p>
    <w:p w:rsidR="00781597" w:rsidRDefault="00781597" w:rsidP="00781597">
      <w:pPr>
        <w:pStyle w:val="Heading1"/>
        <w:spacing w:before="0" w:line="480" w:lineRule="auto"/>
        <w:jc w:val="center"/>
        <w:rPr>
          <w:rFonts w:ascii="Times New Roman" w:hAnsi="Times New Roman" w:cs="Times New Roman"/>
          <w:b/>
          <w:color w:val="auto"/>
          <w:sz w:val="24"/>
          <w:szCs w:val="24"/>
        </w:rPr>
      </w:pPr>
      <w:bookmarkStart w:id="3" w:name="_Toc107576275"/>
      <w:r w:rsidRPr="00D2574D">
        <w:rPr>
          <w:rFonts w:ascii="Times New Roman" w:hAnsi="Times New Roman" w:cs="Times New Roman"/>
          <w:b/>
          <w:color w:val="auto"/>
          <w:sz w:val="24"/>
          <w:szCs w:val="24"/>
        </w:rPr>
        <w:t>TINAJUAN PUSTAKA</w:t>
      </w:r>
      <w:bookmarkEnd w:id="3"/>
    </w:p>
    <w:p w:rsidR="00781597" w:rsidRPr="00D2574D" w:rsidRDefault="00781597" w:rsidP="00781597">
      <w:pPr>
        <w:spacing w:after="0" w:line="480" w:lineRule="auto"/>
      </w:pPr>
    </w:p>
    <w:p w:rsidR="00781597" w:rsidRDefault="00781597" w:rsidP="00781597">
      <w:pPr>
        <w:pStyle w:val="Heading2"/>
        <w:numPr>
          <w:ilvl w:val="0"/>
          <w:numId w:val="11"/>
        </w:numPr>
      </w:pPr>
      <w:bookmarkStart w:id="4" w:name="_Toc107576276"/>
      <w:r>
        <w:t>Penyakit Gigi dan Mulut</w:t>
      </w:r>
      <w:bookmarkEnd w:id="2"/>
      <w:bookmarkEnd w:id="4"/>
    </w:p>
    <w:p w:rsidR="00781597" w:rsidRPr="00BF7580" w:rsidRDefault="00781597" w:rsidP="00781597">
      <w:pPr>
        <w:pStyle w:val="Heading3"/>
        <w:numPr>
          <w:ilvl w:val="0"/>
          <w:numId w:val="12"/>
        </w:numPr>
      </w:pPr>
      <w:bookmarkStart w:id="5" w:name="_Toc107576277"/>
      <w:r>
        <w:t>Karies Gigi</w:t>
      </w:r>
      <w:bookmarkEnd w:id="5"/>
    </w:p>
    <w:p w:rsidR="00781597" w:rsidRPr="008C5435" w:rsidRDefault="00781597" w:rsidP="00781597">
      <w:pPr>
        <w:spacing w:after="0" w:line="480" w:lineRule="auto"/>
        <w:ind w:left="851" w:firstLine="567"/>
        <w:jc w:val="both"/>
      </w:pPr>
      <w:r w:rsidRPr="008C5435">
        <w:t>Kesehatan adalah hal terpenting dalam kehidupan manusia, sehat secara jasmani dan rohani, tidak terkecuali anak tunagrahita. Kesehatan gigi dan mulut adalah suatu keadaan yang bebas dari nyeri mulut dan wajah yang kronik, kanker oral dan tenggorokan, luka pada mulut, karies gigi, kelainan bawaan, penyakit karies dan kehilangan gigi serta penyakit yang melibatkan rongga mulut (WHO, 2007).</w:t>
      </w:r>
    </w:p>
    <w:p w:rsidR="00781597" w:rsidRPr="008C5435" w:rsidRDefault="00781597" w:rsidP="00781597">
      <w:pPr>
        <w:spacing w:after="0" w:line="480" w:lineRule="auto"/>
        <w:ind w:left="851" w:firstLine="567"/>
        <w:jc w:val="both"/>
      </w:pPr>
      <w:r w:rsidRPr="008C5435">
        <w:t xml:space="preserve">National Institution of Health di Amerika Serikat melaporkan bahwa karies gigi menjadi penyakit kronis yang paling sering diderita anak umur 5-17 tahun yang kasusnya lima kali lebih banyak dibanding asma dan tujuh kali dari deman akibat alergi. </w:t>
      </w:r>
      <w:r w:rsidRPr="008C5435">
        <w:fldChar w:fldCharType="begin" w:fldLock="1"/>
      </w:r>
      <w:r w:rsidRPr="008C5435">
        <w:instrText>ADDIN CSL_CITATION {"citationItems":[{"id":"ITEM-1","itemData":{"ISSN":"2089-3124","abstract":"Dental and oral diseases are a global problem that can affect general health and quality of life. The National Institution of Health in the United States reports that dental caries is the most common chronic disease among children aged 5-17 years, five times more cases than asthma and seven times from allergic fever. If left untreated, dental caries can cause pain in the teeth, impaired absorption of food, affect the growth of the child's body and loss of school time due to toothache. The purpose of this study was to determine the relationship between health behavior of brushing teeth with dental caries of children in class V and VI SD Inpres Winangun, Manado City. This research is an analytic observational study with cross sectional study design. This research was conducted at Winangun Inpres Elementary School in August 2019. To determine the relationship between knowledge, attitudes and actions with dental caries using the Chi Square test. The results of this study indicate there is a relationship between attitude and action with dental caries","author":[{"dropping-particle":"","family":"Febrianti Hasiru, Sulaeman Engkeng","given":"Afinal Asrifuddin","non-dropping-particle":"","parse-names":false,"suffix":""}],"container-title":"Kesmas","id":"ITEM-1","issue":"6","issued":{"date-parts":[["2019"]]},"page":"255-262","title":"Hubungan Perilaku Kesehatan Menggosok Gigi Dengan Karies Gigi Pada Anak Di Sd Inpres Winangun Kota Manado. Skripsi. Fakultas Kesehatan Masyarakat","type":"article-journal","volume":"8"},"uris":["http://www.mendeley.com/documents/?uuid=aa996f5b-0d2e-4cc0-9c07-fe9837c074e4"]}],"mendeley":{"formattedCitation":"(Febrianti Hasiru, Sulaeman Engkeng, 2019)","plainTextFormattedCitation":"(Febrianti Hasiru, Sulaeman Engkeng, 2019)","previouslyFormattedCitation":"(Febrianti Hasiru, Sulaeman Engkeng, 2019)"},"properties":{"noteIndex":0},"schema":"https://github.com/citation-style-language/schema/raw/master/csl-citation.json"}</w:instrText>
      </w:r>
      <w:r w:rsidRPr="008C5435">
        <w:fldChar w:fldCharType="separate"/>
      </w:r>
      <w:r w:rsidRPr="008C5435">
        <w:rPr>
          <w:noProof/>
        </w:rPr>
        <w:t>(Febrianti Hasiru, Sulaeman Engkeng, 2019)</w:t>
      </w:r>
      <w:r w:rsidRPr="008C5435">
        <w:fldChar w:fldCharType="end"/>
      </w:r>
      <w:r w:rsidRPr="008C5435">
        <w:t>. Penyakit gigi dan mulut salah satunya karies menjadi masalah dunia untuk mempengaruhi kualitas kebersihan gigi dan mulut serta mempengaruhi kesehatan umum yang lain. Karies gigi merupakan penyakit jaringan klasifikasi gigi, yang ditandai dengan kehancuran jaringan, dimulai dari permukaan gigi pada daerah predileksi (</w:t>
      </w:r>
      <w:r w:rsidRPr="008C5435">
        <w:rPr>
          <w:i/>
        </w:rPr>
        <w:t>pit dan fissure</w:t>
      </w:r>
      <w:r w:rsidRPr="008C5435">
        <w:t>) dan daerah kontak interproksimal berlanjut menuju pulpa.</w:t>
      </w:r>
      <w:r w:rsidRPr="008C5435">
        <w:fldChar w:fldCharType="begin" w:fldLock="1"/>
      </w:r>
      <w:r w:rsidRPr="008C5435">
        <w:instrText>ADDIN CSL_CITATION {"citationItems":[{"id":"ITEM-1","itemData":{"author":[{"dropping-particle":"","family":"Mandojo","given":"Rukmo","non-dropping-particle":"","parse-names":false,"suffix":""}],"editor":[{"dropping-particle":"","family":"Adioro","given":"Soetojo","non-dropping-particle":"","parse-names":false,"suffix":""},{"dropping-particle":"","family":"Mohammad","given":"Rulianto","non-dropping-particle":"","parse-names":false,"suffix":""},{"dropping-particle":"","family":"Ari","given":"Subianto","non-dropping-particle":"","parse-names":false,"suffix":""}],"id":"ITEM-1","issued":{"date-parts":[["2017"]]},"publisher":"AIRLANGGA UNIVERSITY PRESS","title":"Restorasi estetik Veneer","type":"book"},"uris":["http://www.mendeley.com/documents/?uuid=141f0485-ee19-4081-8b4b-fcd24ae6c9c7"]}],"mendeley":{"formattedCitation":"(Mandojo, 2017)","plainTextFormattedCitation":"(Mandojo, 2017)","previouslyFormattedCitation":"(Mandojo, 2017)"},"properties":{"noteIndex":0},"schema":"https://github.com/citation-style-language/schema/raw/master/csl-citation.json"}</w:instrText>
      </w:r>
      <w:r w:rsidRPr="008C5435">
        <w:fldChar w:fldCharType="separate"/>
      </w:r>
      <w:r w:rsidRPr="008C5435">
        <w:rPr>
          <w:noProof/>
        </w:rPr>
        <w:t>(Mandojo, 2017)</w:t>
      </w:r>
      <w:r w:rsidRPr="008C5435">
        <w:fldChar w:fldCharType="end"/>
      </w:r>
      <w:r w:rsidRPr="008C5435">
        <w:t>. Upaya menghindari penyakit gigi dan mulut berupa karies diperlukan pengetahuan tentang tanda atau gejala awal karies, etiologi terjadinya karies gigi, maupun tentang klasifikasi karies.</w:t>
      </w:r>
    </w:p>
    <w:p w:rsidR="00781597" w:rsidRPr="008C5435" w:rsidRDefault="00781597" w:rsidP="00781597">
      <w:pPr>
        <w:tabs>
          <w:tab w:val="left" w:pos="1418"/>
        </w:tabs>
        <w:spacing w:after="0" w:line="480" w:lineRule="auto"/>
        <w:ind w:left="709" w:firstLine="851"/>
        <w:jc w:val="both"/>
      </w:pPr>
      <w:r w:rsidRPr="008C5435">
        <w:rPr>
          <w:noProof/>
          <w:lang w:val="en-US"/>
        </w:rPr>
        <w:lastRenderedPageBreak/>
        <mc:AlternateContent>
          <mc:Choice Requires="wps">
            <w:drawing>
              <wp:anchor distT="0" distB="0" distL="114300" distR="114300" simplePos="0" relativeHeight="251664384" behindDoc="0" locked="0" layoutInCell="1" allowOverlap="1" wp14:anchorId="7121400C" wp14:editId="23A2FFFA">
                <wp:simplePos x="0" y="0"/>
                <wp:positionH relativeFrom="column">
                  <wp:posOffset>-504825</wp:posOffset>
                </wp:positionH>
                <wp:positionV relativeFrom="paragraph">
                  <wp:posOffset>1694180</wp:posOffset>
                </wp:positionV>
                <wp:extent cx="6230620" cy="690880"/>
                <wp:effectExtent l="0" t="0" r="0" b="0"/>
                <wp:wrapTopAndBottom/>
                <wp:docPr id="15" name="Text Box 20"/>
                <wp:cNvGraphicFramePr/>
                <a:graphic xmlns:a="http://schemas.openxmlformats.org/drawingml/2006/main">
                  <a:graphicData uri="http://schemas.microsoft.com/office/word/2010/wordprocessingShape">
                    <wps:wsp>
                      <wps:cNvSpPr txBox="1"/>
                      <wps:spPr>
                        <a:xfrm>
                          <a:off x="0" y="0"/>
                          <a:ext cx="6230620" cy="690880"/>
                        </a:xfrm>
                        <a:prstGeom prst="rect">
                          <a:avLst/>
                        </a:prstGeom>
                        <a:solidFill>
                          <a:prstClr val="white"/>
                        </a:solidFill>
                        <a:ln>
                          <a:noFill/>
                        </a:ln>
                      </wps:spPr>
                      <wps:txbx>
                        <w:txbxContent>
                          <w:p w:rsidR="00781597" w:rsidRDefault="00781597" w:rsidP="00781597">
                            <w:pPr>
                              <w:pStyle w:val="Caption"/>
                              <w:spacing w:after="0"/>
                              <w:jc w:val="center"/>
                              <w:rPr>
                                <w:i w:val="0"/>
                                <w:color w:val="auto"/>
                                <w:sz w:val="22"/>
                                <w:szCs w:val="22"/>
                              </w:rPr>
                            </w:pPr>
                            <w:bookmarkStart w:id="6" w:name="_Toc92791633"/>
                            <w:r>
                              <w:rPr>
                                <w:i w:val="0"/>
                                <w:color w:val="auto"/>
                                <w:sz w:val="22"/>
                                <w:szCs w:val="22"/>
                              </w:rPr>
                              <w:t xml:space="preserve">Gambar 2. </w:t>
                            </w:r>
                            <w:r>
                              <w:fldChar w:fldCharType="begin"/>
                            </w:r>
                            <w:r>
                              <w:rPr>
                                <w:i w:val="0"/>
                                <w:color w:val="auto"/>
                                <w:sz w:val="22"/>
                                <w:szCs w:val="22"/>
                              </w:rPr>
                              <w:instrText xml:space="preserve"> SEQ Gambar_2. \* ARABIC </w:instrText>
                            </w:r>
                            <w:r>
                              <w:fldChar w:fldCharType="separate"/>
                            </w:r>
                            <w:r>
                              <w:rPr>
                                <w:i w:val="0"/>
                                <w:noProof/>
                                <w:color w:val="auto"/>
                                <w:sz w:val="22"/>
                                <w:szCs w:val="22"/>
                              </w:rPr>
                              <w:t>1</w:t>
                            </w:r>
                            <w:r>
                              <w:fldChar w:fldCharType="end"/>
                            </w:r>
                            <w:r>
                              <w:rPr>
                                <w:i w:val="0"/>
                                <w:color w:val="auto"/>
                                <w:sz w:val="22"/>
                                <w:szCs w:val="22"/>
                              </w:rPr>
                              <w:t xml:space="preserve"> Karies Gigi anak</w:t>
                            </w:r>
                            <w:bookmarkEnd w:id="6"/>
                            <w:r>
                              <w:rPr>
                                <w:i w:val="0"/>
                                <w:color w:val="auto"/>
                                <w:sz w:val="22"/>
                                <w:szCs w:val="22"/>
                              </w:rPr>
                              <w:t xml:space="preserve"> </w:t>
                            </w:r>
                          </w:p>
                          <w:p w:rsidR="00781597" w:rsidRDefault="00781597" w:rsidP="00781597">
                            <w:pPr>
                              <w:pStyle w:val="Caption"/>
                              <w:spacing w:after="0"/>
                              <w:jc w:val="center"/>
                              <w:rPr>
                                <w:i w:val="0"/>
                              </w:rPr>
                            </w:pPr>
                            <w:r>
                              <w:rPr>
                                <w:color w:val="000000" w:themeColor="text1"/>
                                <w:sz w:val="22"/>
                                <w:szCs w:val="22"/>
                              </w:rPr>
                              <w:t xml:space="preserve">Sumber: </w:t>
                            </w:r>
                            <w:hyperlink r:id="rId5" w:history="1">
                              <w:r>
                                <w:rPr>
                                  <w:rStyle w:val="Hyperlink"/>
                                  <w:color w:val="000000" w:themeColor="text1"/>
                                  <w:sz w:val="22"/>
                                  <w:szCs w:val="22"/>
                                </w:rPr>
                                <w:t>https://parentalk.id/tanda-karies-gigi-anak-dan-pencegahannya/</w:t>
                              </w:r>
                            </w:hyperlink>
                            <w:r>
                              <w:rPr>
                                <w:color w:val="000000" w:themeColor="text1"/>
                                <w:sz w:val="22"/>
                                <w:szCs w:val="22"/>
                              </w:rPr>
                              <w:t>.</w:t>
                            </w:r>
                            <w:r>
                              <w:rPr>
                                <w:color w:val="auto"/>
                                <w:sz w:val="22"/>
                                <w:szCs w:val="22"/>
                              </w:rPr>
                              <w:t xml:space="preserve"> </w:t>
                            </w:r>
                            <w:r>
                              <w:rPr>
                                <w:i w:val="0"/>
                                <w:color w:val="auto"/>
                                <w:sz w:val="22"/>
                                <w:szCs w:val="22"/>
                              </w:rPr>
                              <w:t>11-12-2021. 08.29 WIB.</w:t>
                            </w:r>
                          </w:p>
                          <w:p w:rsidR="00781597" w:rsidRDefault="00781597" w:rsidP="007815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1400C" id="_x0000_t202" coordsize="21600,21600" o:spt="202" path="m,l,21600r21600,l21600,xe">
                <v:stroke joinstyle="miter"/>
                <v:path gradientshapeok="t" o:connecttype="rect"/>
              </v:shapetype>
              <v:shape id="Text Box 20" o:spid="_x0000_s1026" type="#_x0000_t202" style="position:absolute;left:0;text-align:left;margin-left:-39.75pt;margin-top:133.4pt;width:490.6pt;height:5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" stroked="f">
                <v:textbox inset="0,0,0,0">
                  <w:txbxContent>
                    <w:p w:rsidR="00781597" w:rsidRDefault="00781597" w:rsidP="00781597">
                      <w:pPr>
                        <w:pStyle w:val="Caption"/>
                        <w:spacing w:after="0"/>
                        <w:jc w:val="center"/>
                        <w:rPr>
                          <w:i w:val="0"/>
                          <w:color w:val="auto"/>
                          <w:sz w:val="22"/>
                          <w:szCs w:val="22"/>
                        </w:rPr>
                      </w:pPr>
                      <w:bookmarkStart w:id="7" w:name="_Toc92791633"/>
                      <w:r>
                        <w:rPr>
                          <w:i w:val="0"/>
                          <w:color w:val="auto"/>
                          <w:sz w:val="22"/>
                          <w:szCs w:val="22"/>
                        </w:rPr>
                        <w:t xml:space="preserve">Gambar 2. </w:t>
                      </w:r>
                      <w:r>
                        <w:fldChar w:fldCharType="begin"/>
                      </w:r>
                      <w:r>
                        <w:rPr>
                          <w:i w:val="0"/>
                          <w:color w:val="auto"/>
                          <w:sz w:val="22"/>
                          <w:szCs w:val="22"/>
                        </w:rPr>
                        <w:instrText xml:space="preserve"> SEQ Gambar_2. \* ARABIC </w:instrText>
                      </w:r>
                      <w:r>
                        <w:fldChar w:fldCharType="separate"/>
                      </w:r>
                      <w:r>
                        <w:rPr>
                          <w:i w:val="0"/>
                          <w:noProof/>
                          <w:color w:val="auto"/>
                          <w:sz w:val="22"/>
                          <w:szCs w:val="22"/>
                        </w:rPr>
                        <w:t>1</w:t>
                      </w:r>
                      <w:r>
                        <w:fldChar w:fldCharType="end"/>
                      </w:r>
                      <w:r>
                        <w:rPr>
                          <w:i w:val="0"/>
                          <w:color w:val="auto"/>
                          <w:sz w:val="22"/>
                          <w:szCs w:val="22"/>
                        </w:rPr>
                        <w:t xml:space="preserve"> Karies Gigi anak</w:t>
                      </w:r>
                      <w:bookmarkEnd w:id="7"/>
                      <w:r>
                        <w:rPr>
                          <w:i w:val="0"/>
                          <w:color w:val="auto"/>
                          <w:sz w:val="22"/>
                          <w:szCs w:val="22"/>
                        </w:rPr>
                        <w:t xml:space="preserve"> </w:t>
                      </w:r>
                    </w:p>
                    <w:p w:rsidR="00781597" w:rsidRDefault="00781597" w:rsidP="00781597">
                      <w:pPr>
                        <w:pStyle w:val="Caption"/>
                        <w:spacing w:after="0"/>
                        <w:jc w:val="center"/>
                        <w:rPr>
                          <w:i w:val="0"/>
                        </w:rPr>
                      </w:pPr>
                      <w:r>
                        <w:rPr>
                          <w:color w:val="000000" w:themeColor="text1"/>
                          <w:sz w:val="22"/>
                          <w:szCs w:val="22"/>
                        </w:rPr>
                        <w:t xml:space="preserve">Sumber: </w:t>
                      </w:r>
                      <w:hyperlink r:id="rId6" w:history="1">
                        <w:r>
                          <w:rPr>
                            <w:rStyle w:val="Hyperlink"/>
                            <w:color w:val="000000" w:themeColor="text1"/>
                            <w:sz w:val="22"/>
                            <w:szCs w:val="22"/>
                          </w:rPr>
                          <w:t>https://parentalk.id/tanda-karies-gigi-anak-dan-pencegahannya/</w:t>
                        </w:r>
                      </w:hyperlink>
                      <w:r>
                        <w:rPr>
                          <w:color w:val="000000" w:themeColor="text1"/>
                          <w:sz w:val="22"/>
                          <w:szCs w:val="22"/>
                        </w:rPr>
                        <w:t>.</w:t>
                      </w:r>
                      <w:r>
                        <w:rPr>
                          <w:color w:val="auto"/>
                          <w:sz w:val="22"/>
                          <w:szCs w:val="22"/>
                        </w:rPr>
                        <w:t xml:space="preserve"> </w:t>
                      </w:r>
                      <w:r>
                        <w:rPr>
                          <w:i w:val="0"/>
                          <w:color w:val="auto"/>
                          <w:sz w:val="22"/>
                          <w:szCs w:val="22"/>
                        </w:rPr>
                        <w:t>11-12-2021. 08.29 WIB.</w:t>
                      </w:r>
                    </w:p>
                    <w:p w:rsidR="00781597" w:rsidRDefault="00781597" w:rsidP="00781597"/>
                  </w:txbxContent>
                </v:textbox>
                <w10:wrap type="topAndBottom"/>
              </v:shape>
            </w:pict>
          </mc:Fallback>
        </mc:AlternateContent>
      </w:r>
      <w:r w:rsidRPr="008C5435">
        <w:rPr>
          <w:noProof/>
          <w:lang w:val="en-US"/>
        </w:rPr>
        <w:drawing>
          <wp:inline distT="0" distB="0" distL="0" distR="0" wp14:anchorId="3F42D7C9" wp14:editId="025D1C2E">
            <wp:extent cx="3045460" cy="1630045"/>
            <wp:effectExtent l="0" t="0" r="254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5460" cy="1630045"/>
                    </a:xfrm>
                    <a:prstGeom prst="rect">
                      <a:avLst/>
                    </a:prstGeom>
                    <a:noFill/>
                    <a:ln>
                      <a:noFill/>
                    </a:ln>
                  </pic:spPr>
                </pic:pic>
              </a:graphicData>
            </a:graphic>
          </wp:inline>
        </w:drawing>
      </w:r>
    </w:p>
    <w:p w:rsidR="00781597" w:rsidRPr="008C5435" w:rsidRDefault="00781597" w:rsidP="00781597">
      <w:pPr>
        <w:numPr>
          <w:ilvl w:val="0"/>
          <w:numId w:val="1"/>
        </w:numPr>
        <w:tabs>
          <w:tab w:val="left" w:pos="993"/>
        </w:tabs>
        <w:spacing w:line="480" w:lineRule="auto"/>
        <w:ind w:left="1134" w:hanging="11"/>
        <w:contextualSpacing/>
      </w:pPr>
      <w:r w:rsidRPr="008C5435">
        <w:t>Proses terjadinya karies gigi</w:t>
      </w:r>
    </w:p>
    <w:p w:rsidR="00781597" w:rsidRPr="008C5435" w:rsidRDefault="00781597" w:rsidP="00781597">
      <w:pPr>
        <w:spacing w:after="0" w:line="480" w:lineRule="auto"/>
        <w:ind w:left="1418" w:firstLine="567"/>
        <w:contextualSpacing/>
        <w:jc w:val="both"/>
      </w:pPr>
      <w:r w:rsidRPr="008C5435">
        <w:t xml:space="preserve">Karies gigi merupakan infeksi yang disebabkan oleh (demineralisasi) menurunnya kadar mineral pada gigi) email dan dentin yang berhubungan dengan konsumsi makanan kariogenik. Tanda awal dari lesi karies adalah muncul bercak putih pada permukaan gigi. Munculnya bercak putih ini menunjukan demineralisasi enamel gigi. Kemudian menjadi warna bercak kecokelatan yang akhirnya akan menjadi lubang pada gigi. Bercak cokelat yang kusam adalah bentuk karies aktif. </w:t>
      </w:r>
      <w:r w:rsidRPr="008C5435">
        <w:fldChar w:fldCharType="begin" w:fldLock="1"/>
      </w:r>
      <w:r w:rsidRPr="008C5435">
        <w:instrText>ADDIN CSL_CITATION {"citationItems":[{"id":"ITEM-1","itemData":{"ISBN":"0149763417301","author":[{"dropping-particle":"","family":"Dewi","given":"Rosmalia","non-dropping-particle":"","parse-names":false,"suffix":""}],"container-title":"\\","id":"ITEM-1","issue":"5","issued":{"date-parts":[["2019"]]},"page":"55","title":"Gambaran Prevalensi Karies Gigi Murid Kelas III SD Di Wilayah Kerja Puskesmas Pakan Kamis Kecamatan Tilatang Kamang Kabupaten Agam","type":"article-journal","volume":"8"},"uris":["http://www.mendeley.com/documents/?uuid=e8295ca2-31ef-465a-97a9-c8739a850c4e"]}],"mendeley":{"formattedCitation":"(Dewi, 2019)","plainTextFormattedCitation":"(Dewi, 2019)","previouslyFormattedCitation":"(Dewi, 2019)"},"properties":{"noteIndex":0},"schema":"https://github.com/citation-style-language/schema/raw/master/csl-citation.json"}</w:instrText>
      </w:r>
      <w:r w:rsidRPr="008C5435">
        <w:fldChar w:fldCharType="separate"/>
      </w:r>
      <w:r w:rsidRPr="008C5435">
        <w:rPr>
          <w:noProof/>
        </w:rPr>
        <w:t>(Dewi, 2019)</w:t>
      </w:r>
      <w:r w:rsidRPr="008C5435">
        <w:fldChar w:fldCharType="end"/>
      </w:r>
      <w:r w:rsidRPr="008C5435">
        <w:t>.</w:t>
      </w:r>
    </w:p>
    <w:p w:rsidR="00781597" w:rsidRPr="008C5435" w:rsidRDefault="00781597" w:rsidP="00781597">
      <w:pPr>
        <w:spacing w:after="0" w:line="480" w:lineRule="auto"/>
        <w:ind w:left="1418" w:firstLine="567"/>
        <w:contextualSpacing/>
        <w:jc w:val="both"/>
      </w:pPr>
      <w:r w:rsidRPr="008C5435">
        <w:t>Bercak yang berwarna putih pada gigi disebut lesi email awal, yang dikenal dengan nama “white spot” karena secara klinis lesi ini terlihat sebagai bercak yang berwarna putih pada gigi. Lesi ini terjadi karena pH dipermukaan gigi asam atau lebih rendah sehingga tidak dapat mengimbangi dengan proses remineralisasi pada gigi. Karakteristik lesi email awal atau biasa disebut White spot memiliki karakteristik. Dengan mengenali karakteristik white spot diharapkan dapat menindaklanjuti pencegahan karies secara dini.</w:t>
      </w:r>
    </w:p>
    <w:p w:rsidR="00781597" w:rsidRPr="008C5435" w:rsidRDefault="00781597" w:rsidP="00781597">
      <w:pPr>
        <w:spacing w:after="0" w:line="480" w:lineRule="auto"/>
        <w:ind w:left="1418" w:firstLine="567"/>
        <w:contextualSpacing/>
        <w:jc w:val="both"/>
      </w:pPr>
      <w:r w:rsidRPr="008C5435">
        <w:lastRenderedPageBreak/>
        <w:t>Karakteristik white spot tersebut yaitu lapisan permukaan yang rentan dan rapuh terhadap probing, khususnya didaerah pit dan fissure pada permukaan gigi, white spot dapat dideteksi menggunakan radiograf atau trsiluminasi, hilangnya gambaran traslusen normal email yang menampilkan gambaran putih berkapur, khususnya dalam keadaan permukaan gigi yang kering, dan lesi tersebut atau white spot memiliki potensi untuk remineralisasi dengan kemampuan bertahan terhadap pH asam yang lebih tinggi apabila dibantu dengan perawatan remineralisasi tertentu. Lesi awal akan runtuh akibat dari pelarutan apatit atau fraktur dari kristal yang sudah melemah sehingga menjadikan kavitas (lubang) pada gigi.</w:t>
      </w:r>
    </w:p>
    <w:p w:rsidR="00781597" w:rsidRPr="008C5435" w:rsidRDefault="00781597" w:rsidP="00781597">
      <w:pPr>
        <w:numPr>
          <w:ilvl w:val="0"/>
          <w:numId w:val="1"/>
        </w:numPr>
        <w:tabs>
          <w:tab w:val="left" w:pos="993"/>
        </w:tabs>
        <w:spacing w:line="480" w:lineRule="auto"/>
        <w:ind w:left="1134" w:hanging="11"/>
        <w:contextualSpacing/>
      </w:pPr>
      <w:r w:rsidRPr="008C5435">
        <w:t>Etiologi terjadinya karies gigi</w:t>
      </w:r>
    </w:p>
    <w:p w:rsidR="00781597" w:rsidRPr="008C5435" w:rsidRDefault="00781597" w:rsidP="00781597">
      <w:pPr>
        <w:spacing w:after="0" w:line="480" w:lineRule="auto"/>
        <w:ind w:left="1418" w:firstLine="567"/>
        <w:contextualSpacing/>
        <w:jc w:val="both"/>
      </w:pPr>
      <w:r w:rsidRPr="008C5435">
        <w:t xml:space="preserve">Perkembangan biofilm pada tahap awal Strepcoccocus Mutanss terikat pada permukaan gigi dan ikatan ini merupakan awal dari pembentukan plak. </w:t>
      </w:r>
      <w:r w:rsidRPr="008C5435">
        <w:fldChar w:fldCharType="begin" w:fldLock="1"/>
      </w:r>
      <w:r w:rsidRPr="008C5435">
        <w:instrText>ADDIN CSL_CITATION {"citationItems":[{"id":"ITEM-1","itemData":{"DOI":"10.46862/interdental.v16i2.1297","ISSN":"19799144","abstract":"Early childhood caries (ECC) is one of the most prevalent diseases in children worldwide. Streptococcus Mutans is the main bacteria that have a strong association with ECC, and these bacteria can be transmitted from mother to child. ECC does not only affect children’s oral health but also the general health of the children and the end affects their quality of life. The impacts of ECC such as problems with sleeping, speaking eating, premature loss of primary dentition, and this condition often leads to orthodontic problems in adult life. Management of ECC has begun preventive strategies, curative and rehabilitative treatment also. As we know the etiology and management of ECC, the impact can be avoided, and the children still have a good quality of life.","author":[{"dropping-particle":"","family":"Astuti","given":"ES. Yuni","non-dropping-particle":"","parse-names":false,"suffix":""}],"container-title":"Interdental Jurnal Kedokteran Gigi (IJKG)","id":"ITEM-1","issue":"2","issued":{"date-parts":[["2020"]]},"page":"57-60","title":"Etiologi, Dampak Dan Manajemen Early Childhood Caries (Ecc)","type":"article-journal","volume":"16"},"uris":["http://www.mendeley.com/documents/?uuid=b7ca97b8-be79-4c42-bd36-6009761e3c00"]}],"mendeley":{"formattedCitation":"(Astuti, 2020)","plainTextFormattedCitation":"(Astuti, 2020)","previouslyFormattedCitation":"(Astuti, 2020)"},"properties":{"noteIndex":0},"schema":"https://github.com/citation-style-language/schema/raw/master/csl-citation.json"}</w:instrText>
      </w:r>
      <w:r w:rsidRPr="008C5435">
        <w:fldChar w:fldCharType="separate"/>
      </w:r>
      <w:r w:rsidRPr="008C5435">
        <w:rPr>
          <w:noProof/>
        </w:rPr>
        <w:t>(Astuti, 2020)</w:t>
      </w:r>
      <w:r w:rsidRPr="008C5435">
        <w:fldChar w:fldCharType="end"/>
      </w:r>
      <w:r w:rsidRPr="008C5435">
        <w:t xml:space="preserve">. Menurut Rosmalia, dewi. (2019). Karies gigi disebabkan oleh bakteri penyebab karies gigi yang terdapat pada golongan </w:t>
      </w:r>
      <w:r w:rsidRPr="008C5435">
        <w:rPr>
          <w:i/>
        </w:rPr>
        <w:t>strepcococcus</w:t>
      </w:r>
      <w:r w:rsidRPr="008C5435">
        <w:t xml:space="preserve"> yang secara kolektif disebut </w:t>
      </w:r>
      <w:r w:rsidRPr="008C5435">
        <w:rPr>
          <w:i/>
        </w:rPr>
        <w:t>Strepcococcus Mutans</w:t>
      </w:r>
      <w:r w:rsidRPr="008C5435">
        <w:t xml:space="preserve">. Proses terjadinya karies gigi ialah ada agen (Mikroorganisme) pada kasus karies gigi mikroorganisme yang berperan adalah Streptococcus mutans. Memiliki host (gigi), gigi dengan karakteristik pit dan fissure yang dalam sulit untuk di jangkau saat sisa makanan melekat sehingga plak akan mudah berkembang sehingga mudah terjadi karies gigi. Pada proses karies gigi ada substrat, yaitu peran makanan seperti makanan kariogenik </w:t>
      </w:r>
      <w:r w:rsidRPr="008C5435">
        <w:lastRenderedPageBreak/>
        <w:t xml:space="preserve">penyebab karies pada sisa makanan yang melekat pada gigi, serta ada waktu, karies merupakan penyakit gigi dan mulut yang berkembang secara lambat dan keaktifannya berjalan bertahap yang merupakan proses dinamis yang ditandai proses demineralisasi dan remineralisasi. </w:t>
      </w:r>
      <w:r w:rsidRPr="008C5435">
        <w:fldChar w:fldCharType="begin" w:fldLock="1"/>
      </w:r>
      <w:r w:rsidRPr="008C5435">
        <w:instrText>ADDIN CSL_CITATION {"citationItems":[{"id":"ITEM-1","itemData":{"ISBN":"0149763417301","author":[{"dropping-particle":"","family":"Dewi","given":"Rosmalia","non-dropping-particle":"","parse-names":false,"suffix":""}],"container-title":"\\","id":"ITEM-1","issue":"5","issued":{"date-parts":[["2019"]]},"page":"55","title":"Gambaran Prevalensi Karies Gigi Murid Kelas III SD Di Wilayah Kerja Puskesmas Pakan Kamis Kecamatan Tilatang Kamang Kabupaten Agam","type":"article-journal","volume":"8"},"uris":["http://www.mendeley.com/documents/?uuid=e8295ca2-31ef-465a-97a9-c8739a850c4e"]}],"mendeley":{"formattedCitation":"(Dewi, 2019)","plainTextFormattedCitation":"(Dewi, 2019)","previouslyFormattedCitation":"(Dewi, 2019)"},"properties":{"noteIndex":0},"schema":"https://github.com/citation-style-language/schema/raw/master/csl-citation.json"}</w:instrText>
      </w:r>
      <w:r w:rsidRPr="008C5435">
        <w:fldChar w:fldCharType="separate"/>
      </w:r>
      <w:r w:rsidRPr="008C5435">
        <w:rPr>
          <w:noProof/>
        </w:rPr>
        <w:t>(Dewi, 2019)</w:t>
      </w:r>
      <w:r w:rsidRPr="008C5435">
        <w:fldChar w:fldCharType="end"/>
      </w:r>
      <w:r w:rsidRPr="008C5435">
        <w:t xml:space="preserve">. Dari uraian tersebut disimpulkan pembentukan karies terjadi saat agen, host,substrat terjadi dalam waktu yang bersamaan dan dibiarkan dengan waktu yang lama </w:t>
      </w:r>
      <w:r w:rsidRPr="008C5435">
        <w:rPr>
          <w:noProof/>
          <w:lang w:val="en-US"/>
        </w:rPr>
        <w:drawing>
          <wp:anchor distT="0" distB="0" distL="114300" distR="114300" simplePos="0" relativeHeight="251661312" behindDoc="0" locked="0" layoutInCell="1" allowOverlap="1" wp14:anchorId="490EC23D" wp14:editId="563E7A79">
            <wp:simplePos x="0" y="0"/>
            <wp:positionH relativeFrom="column">
              <wp:posOffset>1722120</wp:posOffset>
            </wp:positionH>
            <wp:positionV relativeFrom="paragraph">
              <wp:posOffset>2769870</wp:posOffset>
            </wp:positionV>
            <wp:extent cx="2523490" cy="2141855"/>
            <wp:effectExtent l="0" t="0" r="0" b="0"/>
            <wp:wrapTopAndBottom/>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3490" cy="2141855"/>
                    </a:xfrm>
                    <a:prstGeom prst="rect">
                      <a:avLst/>
                    </a:prstGeom>
                    <a:noFill/>
                  </pic:spPr>
                </pic:pic>
              </a:graphicData>
            </a:graphic>
            <wp14:sizeRelH relativeFrom="page">
              <wp14:pctWidth>0</wp14:pctWidth>
            </wp14:sizeRelH>
            <wp14:sizeRelV relativeFrom="page">
              <wp14:pctHeight>0</wp14:pctHeight>
            </wp14:sizeRelV>
          </wp:anchor>
        </w:drawing>
      </w:r>
      <w:r w:rsidRPr="008C5435">
        <w:rPr>
          <w:noProof/>
          <w:lang w:val="en-US"/>
        </w:rPr>
        <mc:AlternateContent>
          <mc:Choice Requires="wps">
            <w:drawing>
              <wp:anchor distT="0" distB="0" distL="114300" distR="114300" simplePos="0" relativeHeight="251662336" behindDoc="0" locked="0" layoutInCell="1" allowOverlap="1" wp14:anchorId="35ED5C68" wp14:editId="6DFEE38F">
                <wp:simplePos x="0" y="0"/>
                <wp:positionH relativeFrom="margin">
                  <wp:posOffset>1255395</wp:posOffset>
                </wp:positionH>
                <wp:positionV relativeFrom="paragraph">
                  <wp:posOffset>4937125</wp:posOffset>
                </wp:positionV>
                <wp:extent cx="3371850" cy="571500"/>
                <wp:effectExtent l="0" t="0" r="0" b="0"/>
                <wp:wrapTopAndBottom/>
                <wp:docPr id="14" name="Text Box 13"/>
                <wp:cNvGraphicFramePr/>
                <a:graphic xmlns:a="http://schemas.openxmlformats.org/drawingml/2006/main">
                  <a:graphicData uri="http://schemas.microsoft.com/office/word/2010/wordprocessingShape">
                    <wps:wsp>
                      <wps:cNvSpPr txBox="1"/>
                      <wps:spPr>
                        <a:xfrm>
                          <a:off x="0" y="0"/>
                          <a:ext cx="3371850" cy="571500"/>
                        </a:xfrm>
                        <a:prstGeom prst="rect">
                          <a:avLst/>
                        </a:prstGeom>
                        <a:solidFill>
                          <a:prstClr val="white"/>
                        </a:solidFill>
                        <a:ln>
                          <a:noFill/>
                        </a:ln>
                      </wps:spPr>
                      <wps:txbx>
                        <w:txbxContent>
                          <w:p w:rsidR="00781597" w:rsidRDefault="00781597" w:rsidP="00781597">
                            <w:pPr>
                              <w:pStyle w:val="Caption"/>
                              <w:spacing w:after="0"/>
                              <w:jc w:val="center"/>
                              <w:rPr>
                                <w:b/>
                                <w:i w:val="0"/>
                                <w:color w:val="auto"/>
                                <w:sz w:val="22"/>
                                <w:szCs w:val="22"/>
                              </w:rPr>
                            </w:pPr>
                            <w:r>
                              <w:rPr>
                                <w:b/>
                                <w:i w:val="0"/>
                                <w:color w:val="auto"/>
                                <w:sz w:val="22"/>
                                <w:szCs w:val="22"/>
                              </w:rPr>
                              <w:t>Gambar 2.2. Proses Terjadinya Karies Gigi</w:t>
                            </w:r>
                          </w:p>
                          <w:p w:rsidR="00781597" w:rsidRDefault="00781597" w:rsidP="00781597">
                            <w:pPr>
                              <w:spacing w:after="0" w:line="240" w:lineRule="auto"/>
                              <w:rPr>
                                <w:b/>
                              </w:rPr>
                            </w:pPr>
                            <w:r>
                              <w:rPr>
                                <w:b/>
                              </w:rPr>
                              <w:t>Sumber:https://dentosca.wordpress.com/2011/04/1</w:t>
                            </w:r>
                          </w:p>
                          <w:p w:rsidR="00781597" w:rsidRDefault="00781597" w:rsidP="00781597">
                            <w:pPr>
                              <w:spacing w:after="0" w:line="240" w:lineRule="auto"/>
                              <w:jc w:val="center"/>
                              <w:rPr>
                                <w:b/>
                              </w:rPr>
                            </w:pPr>
                            <w:r>
                              <w:rPr>
                                <w:b/>
                              </w:rPr>
                              <w:t>karies-gigi-pada-anak/. 06-12-2021. 11.00 WIB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D5C68" id="Text Box 13" o:spid="_x0000_s1027" type="#_x0000_t202" style="position:absolute;left:0;text-align:left;margin-left:98.85pt;margin-top:388.75pt;width:265.5pt;height: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" stroked="f">
                <v:textbox inset="0,0,0,0">
                  <w:txbxContent>
                    <w:p w:rsidR="00781597" w:rsidRDefault="00781597" w:rsidP="00781597">
                      <w:pPr>
                        <w:pStyle w:val="Caption"/>
                        <w:spacing w:after="0"/>
                        <w:jc w:val="center"/>
                        <w:rPr>
                          <w:b/>
                          <w:i w:val="0"/>
                          <w:color w:val="auto"/>
                          <w:sz w:val="22"/>
                          <w:szCs w:val="22"/>
                        </w:rPr>
                      </w:pPr>
                      <w:r>
                        <w:rPr>
                          <w:b/>
                          <w:i w:val="0"/>
                          <w:color w:val="auto"/>
                          <w:sz w:val="22"/>
                          <w:szCs w:val="22"/>
                        </w:rPr>
                        <w:t>Gambar 2.2. Proses Terjadinya Karies Gigi</w:t>
                      </w:r>
                    </w:p>
                    <w:p w:rsidR="00781597" w:rsidRDefault="00781597" w:rsidP="00781597">
                      <w:pPr>
                        <w:spacing w:after="0" w:line="240" w:lineRule="auto"/>
                        <w:rPr>
                          <w:b/>
                        </w:rPr>
                      </w:pPr>
                      <w:r>
                        <w:rPr>
                          <w:b/>
                        </w:rPr>
                        <w:t>Sumber:https://dentosca.wordpress.com/2011/04/1</w:t>
                      </w:r>
                    </w:p>
                    <w:p w:rsidR="00781597" w:rsidRDefault="00781597" w:rsidP="00781597">
                      <w:pPr>
                        <w:spacing w:after="0" w:line="240" w:lineRule="auto"/>
                        <w:jc w:val="center"/>
                        <w:rPr>
                          <w:b/>
                        </w:rPr>
                      </w:pPr>
                      <w:r>
                        <w:rPr>
                          <w:b/>
                        </w:rPr>
                        <w:t>karies-gigi-pada-anak/. 06-12-2021. 11.00 WIB</w:t>
                      </w:r>
                    </w:p>
                  </w:txbxContent>
                </v:textbox>
                <w10:wrap type="topAndBottom" anchorx="margin"/>
              </v:shape>
            </w:pict>
          </mc:Fallback>
        </mc:AlternateContent>
      </w:r>
      <w:r w:rsidRPr="008C5435">
        <w:t>sehingga terbentuk karies pada gigi.</w:t>
      </w:r>
    </w:p>
    <w:p w:rsidR="00781597" w:rsidRDefault="00781597" w:rsidP="00781597">
      <w:pPr>
        <w:spacing w:line="480" w:lineRule="auto"/>
        <w:ind w:left="1134"/>
        <w:contextualSpacing/>
      </w:pPr>
    </w:p>
    <w:p w:rsidR="00781597" w:rsidRPr="008C5435" w:rsidRDefault="00781597" w:rsidP="00781597">
      <w:pPr>
        <w:numPr>
          <w:ilvl w:val="0"/>
          <w:numId w:val="1"/>
        </w:numPr>
        <w:tabs>
          <w:tab w:val="left" w:pos="993"/>
        </w:tabs>
        <w:spacing w:line="480" w:lineRule="auto"/>
        <w:ind w:left="1134" w:hanging="11"/>
        <w:contextualSpacing/>
      </w:pPr>
      <w:r w:rsidRPr="008C5435">
        <w:t>Klasifikasi karies</w:t>
      </w:r>
    </w:p>
    <w:p w:rsidR="00781597" w:rsidRPr="008C5435" w:rsidRDefault="00781597" w:rsidP="00781597">
      <w:pPr>
        <w:spacing w:after="0" w:line="480" w:lineRule="auto"/>
        <w:ind w:left="1418" w:firstLine="567"/>
        <w:contextualSpacing/>
        <w:jc w:val="both"/>
      </w:pPr>
      <w:r w:rsidRPr="008C5435">
        <w:t xml:space="preserve">Karies gigi merupakan penyakit infeksi pada gigi dan mulut yang bergantung pada makanan kariogenik yang mengandung gula. Asam diproduksi sebagai produk samping metabolisme karbohidrat makanan oleh bakteri plak, yang menyebabkan penurunan pH di permukaan gigi. Sebagai responnya, ion kalsium dan fospat mengalami difusi keluar dari email menyebabkan demineralisasi. Proses ini menjadi terbalik bila pH meningkat kembali. Oleh karena </w:t>
      </w:r>
      <w:r w:rsidRPr="008C5435">
        <w:lastRenderedPageBreak/>
        <w:t xml:space="preserve">itu, karies merupkan suatu proses dinamis ditandai oleh episode demineralisasi dan remineralisasi yang terjadi sejalan dengan waktu. Bila pengerusakan mendominasi, komponen mineral menjadi tidak menyatu, menyebabkan lubang gigi (karies gigi). </w:t>
      </w:r>
      <w:r w:rsidRPr="008C5435">
        <w:fldChar w:fldCharType="begin" w:fldLock="1"/>
      </w:r>
      <w:r w:rsidRPr="008C5435">
        <w:instrText>ADDIN CSL_CITATION {"citationItems":[{"id":"ITEM-1","itemData":{"ISSN":"2356-3346","abstract":"Caries is a disease of dental hard tissue, email, dentin and cementum, which is caused by the activity of a microorganism in a carbohydrate that can be fermented. Children with intellectual development disorders have a below average intellegence. The prevalence of caries in Indonesian children aged 12 years is 98%. The purpose of this study is to describe factor of dental caries in caries in students with intellectual development disorder in SLB C, Semarang. The population of this study are 123 students.The samples are part of the population who have the inclusion criteria. This research uses descriptive method with cross-sectional design. The results showed 66.3% of respondents are male, 83.2% of children with intellectual development disorders have dental caries, Average DMF-T index is 3.94 which according to WHO criteria in middle category, 44.6% of respondents have a relatively acidic pH of saliva, 52.5% higher cariogenic consumption, 16.8% of respondents oral hygiene medium category, 80.2% income parents than average, 53.5% of women respondents have good knowledge, 4% of respondents have a bad plaque, and 61.4% practice toothbrush is a good category.","author":[{"dropping-particle":"","family":"Istiqomah","given":"F.","non-dropping-particle":"","parse-names":false,"suffix":""},{"dropping-particle":"","family":"Susanto","given":"H.","non-dropping-particle":"","parse-names":false,"suffix":""},{"dropping-particle":"","family":"Udiyono","given":"A.","non-dropping-particle":"","parse-names":false,"suffix":""},{"dropping-particle":"","family":"Adi","given":"M.","non-dropping-particle":"","parse-names":false,"suffix":""}],"container-title":"Jurnal Kesehatan Masyarakat (e-Journal)","id":"ITEM-1","issue":"4","issued":{"date-parts":[["2016"]]},"page":"359-362","title":"Gambaran Karies Gigi Pada Anak Tunagrahita Di Slb C Kota Semarang","type":"article-journal","volume":"4"},"uris":["http://www.mendeley.com/documents/?uuid=9866af1f-1d16-4d4c-b64c-aad51cf7dbf3"]}],"mendeley":{"formattedCitation":"(Istiqomah et al., 2016)","plainTextFormattedCitation":"(Istiqomah et al., 2016)","previouslyFormattedCitation":"(Istiqomah et al., 2016)"},"properties":{"noteIndex":0},"schema":"https://github.com/citation-style-language/schema/raw/master/csl-citation.json"}</w:instrText>
      </w:r>
      <w:r w:rsidRPr="008C5435">
        <w:fldChar w:fldCharType="separate"/>
      </w:r>
      <w:r w:rsidRPr="008C5435">
        <w:rPr>
          <w:noProof/>
        </w:rPr>
        <w:t>(Istiqomah et al., 2016)</w:t>
      </w:r>
      <w:r w:rsidRPr="008C5435">
        <w:fldChar w:fldCharType="end"/>
      </w:r>
      <w:r w:rsidRPr="008C5435">
        <w:t xml:space="preserve">. Klasifikasi karies menurut kedalamannya dibagi menjadi tiga, karies superficialis, karies media, dan karies profunda. </w:t>
      </w:r>
    </w:p>
    <w:p w:rsidR="00781597" w:rsidRPr="008C5435" w:rsidRDefault="00781597" w:rsidP="00781597">
      <w:pPr>
        <w:numPr>
          <w:ilvl w:val="0"/>
          <w:numId w:val="2"/>
        </w:numPr>
        <w:spacing w:after="0" w:line="480" w:lineRule="auto"/>
        <w:ind w:left="1843" w:hanging="425"/>
        <w:contextualSpacing/>
        <w:jc w:val="both"/>
      </w:pPr>
      <w:r w:rsidRPr="008C5435">
        <w:t>Karies mencapai enamel/KME (karies superficialis)</w:t>
      </w:r>
    </w:p>
    <w:p w:rsidR="00781597" w:rsidRPr="008C5435" w:rsidRDefault="00781597" w:rsidP="00781597">
      <w:pPr>
        <w:spacing w:after="0" w:line="480" w:lineRule="auto"/>
        <w:ind w:left="1843"/>
        <w:contextualSpacing/>
        <w:jc w:val="both"/>
      </w:pPr>
      <w:r w:rsidRPr="008C5435">
        <w:t>Suatu keadaan gigi dimana lapisan email telah mengalami kerusakan sampai batas dentin enamel jungtion yang merupakan tempat terakhir dari ujung ujung syaraf yang sudah dirangsang.</w:t>
      </w:r>
    </w:p>
    <w:p w:rsidR="00781597" w:rsidRPr="008C5435" w:rsidRDefault="00781597" w:rsidP="00781597">
      <w:pPr>
        <w:numPr>
          <w:ilvl w:val="0"/>
          <w:numId w:val="2"/>
        </w:numPr>
        <w:spacing w:after="0" w:line="480" w:lineRule="auto"/>
        <w:ind w:left="1843" w:hanging="425"/>
        <w:contextualSpacing/>
        <w:jc w:val="both"/>
      </w:pPr>
      <w:r w:rsidRPr="008C5435">
        <w:t>Karies mencapai dentin/KMD (karies media)</w:t>
      </w:r>
    </w:p>
    <w:p w:rsidR="00781597" w:rsidRPr="008C5435" w:rsidRDefault="00781597" w:rsidP="00781597">
      <w:pPr>
        <w:spacing w:after="0" w:line="480" w:lineRule="auto"/>
        <w:ind w:left="1843"/>
        <w:contextualSpacing/>
        <w:jc w:val="both"/>
      </w:pPr>
      <w:r w:rsidRPr="008C5435">
        <w:t>Suatu keadaan gigi dimana kerusakan sudah mencapai lapisan dentin yang merupakan keadaan lanjut dari iritasi pulpa.</w:t>
      </w:r>
    </w:p>
    <w:p w:rsidR="00781597" w:rsidRPr="008C5435" w:rsidRDefault="00781597" w:rsidP="00781597">
      <w:pPr>
        <w:numPr>
          <w:ilvl w:val="0"/>
          <w:numId w:val="2"/>
        </w:numPr>
        <w:spacing w:after="0" w:line="480" w:lineRule="auto"/>
        <w:ind w:left="1843" w:hanging="425"/>
        <w:contextualSpacing/>
        <w:jc w:val="both"/>
      </w:pPr>
      <w:r w:rsidRPr="008C5435">
        <w:t>Karies mencapai pulpa/KMP (karies profunda)</w:t>
      </w:r>
    </w:p>
    <w:p w:rsidR="00781597" w:rsidRDefault="00781597" w:rsidP="00781597">
      <w:pPr>
        <w:spacing w:after="0" w:line="480" w:lineRule="auto"/>
        <w:ind w:left="1843"/>
        <w:contextualSpacing/>
        <w:jc w:val="both"/>
        <w:rPr>
          <w:lang w:val="id-ID"/>
        </w:rPr>
      </w:pPr>
      <w:r w:rsidRPr="008C5435">
        <w:t xml:space="preserve">Suatu keadaan gigi dimana sudah mengalami peradangan pada jaringan pulpa. </w:t>
      </w:r>
    </w:p>
    <w:p w:rsidR="00781597" w:rsidRPr="008D0143" w:rsidRDefault="00781597" w:rsidP="00781597">
      <w:pPr>
        <w:pStyle w:val="Heading2"/>
      </w:pPr>
      <w:bookmarkStart w:id="8" w:name="_Toc107576278"/>
      <w:r>
        <w:t>Indeks Pemeriksaan Gigi dan Mulut</w:t>
      </w:r>
      <w:bookmarkEnd w:id="8"/>
    </w:p>
    <w:p w:rsidR="00781597" w:rsidRPr="008C5435" w:rsidRDefault="00781597" w:rsidP="00781597">
      <w:pPr>
        <w:tabs>
          <w:tab w:val="left" w:pos="1418"/>
        </w:tabs>
        <w:spacing w:after="0" w:line="480" w:lineRule="auto"/>
        <w:ind w:left="284" w:firstLine="567"/>
        <w:jc w:val="both"/>
      </w:pPr>
      <w:r w:rsidRPr="008C5435">
        <w:t xml:space="preserve">Perawatan yang diperlukan dalam mencegah manifestasi penyakit gigi dan mulut ialah dengan mengendalikan faktor etiologi yang merupakn pengendalian makan makanan kariogenik dan pengecekan kebersihan gigi dan mulut dengan suatu index pengukuran kesehatan gigi dan mulut. Kebersihan gigi dan mulut tersebut dapat diukur dengan suatu index yang disebut </w:t>
      </w:r>
      <w:r w:rsidRPr="008C5435">
        <w:rPr>
          <w:i/>
        </w:rPr>
        <w:t xml:space="preserve">Oral Hygiene Index Simplifed </w:t>
      </w:r>
      <w:r w:rsidRPr="008C5435">
        <w:t xml:space="preserve">(OHIS) yang sudah diselidiki oleh peneliti Green and Vermellion. </w:t>
      </w:r>
      <w:r w:rsidRPr="008C5435">
        <w:fldChar w:fldCharType="begin" w:fldLock="1"/>
      </w:r>
      <w:r w:rsidRPr="008C5435">
        <w:instrText>ADDIN CSL_CITATION {"citationItems":[{"id":"ITEM-1","itemData":{"author":[{"dropping-particle":"","family":"Prasetiowati, Lies Elina Wahyuni","given":"Sri","non-dropping-particle":"","parse-names":false,"suffix":""}],"container-title":"Jurnal Analis Kesehatan","id":"ITEM-1","issue":"1","issued":{"date-parts":[["2016"]]},"page":"483-489","title":"Efektifitas Buah Semangka dan Jambu Biji Terhadap Nilai ( OHIS ) Pada Anak Usia 10-12 Tahun","type":"article-journal","volume":"5"},"uris":["http://www.mendeley.com/documents/?uuid=74811fc2-d57d-4159-8207-bd6e746c8bb7"]}],"mendeley":{"formattedCitation":"(Prasetiowati, Lies Elina Wahyuni, 2016)","plainTextFormattedCitation":"(Prasetiowati, Lies Elina Wahyuni, 2016)","previouslyFormattedCitation":"(Prasetiowati, Lies Elina Wahyuni, 2016)"},"properties":{"noteIndex":0},"schema":"https://github.com/citation-style-language/schema/raw/master/csl-citation.json"}</w:instrText>
      </w:r>
      <w:r w:rsidRPr="008C5435">
        <w:fldChar w:fldCharType="separate"/>
      </w:r>
      <w:r w:rsidRPr="008C5435">
        <w:rPr>
          <w:noProof/>
        </w:rPr>
        <w:t>(Prasetiowati, Lies Elina Wahyuni, 2016)</w:t>
      </w:r>
      <w:r w:rsidRPr="008C5435">
        <w:fldChar w:fldCharType="end"/>
      </w:r>
      <w:r w:rsidRPr="008C5435">
        <w:t xml:space="preserve">. Data indeks OHIS pada masyarakat </w:t>
      </w:r>
      <w:r w:rsidRPr="008C5435">
        <w:lastRenderedPageBreak/>
        <w:t xml:space="preserve">Indonesia rata-rata ialah 1,46 sedangkan target nnasional OHIS 1,2. </w:t>
      </w:r>
      <w:r w:rsidRPr="008C5435">
        <w:fldChar w:fldCharType="begin" w:fldLock="1"/>
      </w:r>
      <w:r w:rsidRPr="008C5435">
        <w:instrText>ADDIN CSL_CITATION {"citationItems":[{"id":"ITEM-1","itemData":{"author":[{"dropping-particle":"","family":"Prasetiowati, Lies Elina Wahyuni","given":"Sri","non-dropping-particle":"","parse-names":false,"suffix":""}],"container-title":"Jurnal Analis Kesehatan","id":"ITEM-1","issue":"1","issued":{"date-parts":[["2016"]]},"page":"483-489","title":"Efektifitas Buah Semangka dan Jambu Biji Terhadap Nilai ( OHIS ) Pada Anak Usia 10-12 Tahun","type":"article-journal","volume":"5"},"uris":["http://www.mendeley.com/documents/?uuid=74811fc2-d57d-4159-8207-bd6e746c8bb7"]}],"mendeley":{"formattedCitation":"(Prasetiowati, Lies Elina Wahyuni, 2016)","plainTextFormattedCitation":"(Prasetiowati, Lies Elina Wahyuni, 2016)","previouslyFormattedCitation":"(Prasetiowati, Lies Elina Wahyuni, 2016)"},"properties":{"noteIndex":0},"schema":"https://github.com/citation-style-language/schema/raw/master/csl-citation.json"}</w:instrText>
      </w:r>
      <w:r w:rsidRPr="008C5435">
        <w:fldChar w:fldCharType="separate"/>
      </w:r>
      <w:r w:rsidRPr="008C5435">
        <w:rPr>
          <w:noProof/>
        </w:rPr>
        <w:t>(Prasetiowati, Lies Elina Wahyuni, 2016)</w:t>
      </w:r>
      <w:r w:rsidRPr="008C5435">
        <w:fldChar w:fldCharType="end"/>
      </w:r>
      <w:r w:rsidRPr="008C5435">
        <w:t>. Pengecekan OHIS bermanfaat untuk mengetahui sejauh mana nilai kebersihan gigi dan mulut pasien sehingga dapat dilakukan tindakan untuk mengurangi resiko manifestasi penyakit gigi dan mulut pada pasien.</w:t>
      </w:r>
    </w:p>
    <w:p w:rsidR="00781597" w:rsidRPr="008C5435" w:rsidRDefault="00781597" w:rsidP="00781597">
      <w:pPr>
        <w:spacing w:after="0" w:line="480" w:lineRule="auto"/>
        <w:ind w:left="284" w:firstLine="567"/>
        <w:jc w:val="both"/>
      </w:pPr>
      <w:r w:rsidRPr="008C5435">
        <w:t xml:space="preserve">OHIS merupakan suatu cara untuk mengukur tingkat kebersihan gigi dan mulut seseorang. Penilaian OHIS tersebut didapat dengan cara menjumlahkan Debris Indeks (DI) dan Calculus Indeks (CI) dengan memeriksa setiap segmen pada gigi indeks di ambil sample segmen gigi indeks yang terburuk status kebersihan gigi tersebut. Pada penilaian OHI semua gigi diperiksa baik gigi-gigi rahang atas maupun rahang bawah, setiap rahag dibagi tiga segmen mulai dari distal kaninus sampai molar ketiga kanan rahang atas, diantara kaninus kanan dan kiri, mulai dari mesial kaninus sampai molar ketiga kiri. Setiap gigi indeks merupakan skala nilai dari 0-3.  Yaitu sebagai berikut kriteria OHI-S : </w:t>
      </w:r>
    </w:p>
    <w:p w:rsidR="00781597" w:rsidRPr="008C5435" w:rsidRDefault="00781597" w:rsidP="00781597">
      <w:pPr>
        <w:numPr>
          <w:ilvl w:val="0"/>
          <w:numId w:val="3"/>
        </w:numPr>
        <w:tabs>
          <w:tab w:val="left" w:pos="1418"/>
        </w:tabs>
        <w:spacing w:after="0" w:line="480" w:lineRule="auto"/>
        <w:ind w:left="709"/>
        <w:contextualSpacing/>
        <w:jc w:val="both"/>
      </w:pPr>
      <w:r w:rsidRPr="008C5435">
        <w:t>0,0 – 1,2 = baik</w:t>
      </w:r>
    </w:p>
    <w:p w:rsidR="00781597" w:rsidRPr="008C5435" w:rsidRDefault="00781597" w:rsidP="00781597">
      <w:pPr>
        <w:numPr>
          <w:ilvl w:val="0"/>
          <w:numId w:val="3"/>
        </w:numPr>
        <w:tabs>
          <w:tab w:val="left" w:pos="1418"/>
        </w:tabs>
        <w:spacing w:after="0" w:line="480" w:lineRule="auto"/>
        <w:ind w:left="709"/>
        <w:contextualSpacing/>
        <w:jc w:val="both"/>
      </w:pPr>
      <w:r w:rsidRPr="008C5435">
        <w:t xml:space="preserve">1,3 – 3,0= cukup </w:t>
      </w:r>
    </w:p>
    <w:p w:rsidR="00781597" w:rsidRPr="008C5435" w:rsidRDefault="00781597" w:rsidP="00781597">
      <w:pPr>
        <w:numPr>
          <w:ilvl w:val="0"/>
          <w:numId w:val="3"/>
        </w:numPr>
        <w:tabs>
          <w:tab w:val="left" w:pos="1418"/>
        </w:tabs>
        <w:spacing w:after="0" w:line="480" w:lineRule="auto"/>
        <w:ind w:left="709"/>
        <w:contextualSpacing/>
        <w:jc w:val="both"/>
      </w:pPr>
      <w:r w:rsidRPr="008C5435">
        <w:t>3,1 – 6,0 = buruk</w:t>
      </w:r>
    </w:p>
    <w:p w:rsidR="00781597" w:rsidRPr="008C5435" w:rsidRDefault="00781597" w:rsidP="00781597">
      <w:pPr>
        <w:spacing w:after="0" w:line="480" w:lineRule="auto"/>
        <w:ind w:left="284"/>
        <w:jc w:val="both"/>
      </w:pPr>
      <w:r w:rsidRPr="008C5435">
        <w:t>(Siahaan, Ester. 2020). Debris merupakan sisa makanan yang melekat pada permukaan gigi yang bisa dibersihkan dengan menggosok gigi dan penggunaan benang gigi. Pada OHI-S penentu Debris Indeks untuk setiap gigi dilakukan sebagai berikut :</w:t>
      </w:r>
    </w:p>
    <w:p w:rsidR="00781597" w:rsidRDefault="00781597" w:rsidP="00781597">
      <w:pPr>
        <w:numPr>
          <w:ilvl w:val="0"/>
          <w:numId w:val="4"/>
        </w:numPr>
        <w:tabs>
          <w:tab w:val="left" w:pos="1418"/>
        </w:tabs>
        <w:spacing w:after="0" w:line="480" w:lineRule="auto"/>
        <w:ind w:left="709" w:hanging="426"/>
        <w:contextualSpacing/>
        <w:jc w:val="both"/>
      </w:pPr>
      <w:r w:rsidRPr="008C5435">
        <w:t>Sko</w:t>
      </w:r>
      <w:r>
        <w:t>r</w:t>
      </w:r>
      <w:r w:rsidRPr="008C5435">
        <w:t xml:space="preserve"> 0 yaitu gigi bersih dari debris.</w:t>
      </w:r>
    </w:p>
    <w:p w:rsidR="00781597" w:rsidRPr="008C5435" w:rsidRDefault="00781597" w:rsidP="00781597">
      <w:pPr>
        <w:numPr>
          <w:ilvl w:val="0"/>
          <w:numId w:val="4"/>
        </w:numPr>
        <w:spacing w:after="0" w:line="480" w:lineRule="auto"/>
        <w:ind w:left="709" w:hanging="426"/>
        <w:contextualSpacing/>
        <w:jc w:val="both"/>
      </w:pPr>
      <w:r w:rsidRPr="008C5435">
        <w:lastRenderedPageBreak/>
        <w:t>Skor 1 apabila gigi ditutupi oleh debris tidak lebih dari 1/3 dari permukaan gigi atau tidak ada debris tetapi terdapat stain baik pada bagia fasial maupun lingual.</w:t>
      </w:r>
    </w:p>
    <w:p w:rsidR="00781597" w:rsidRPr="008C5435" w:rsidRDefault="00781597" w:rsidP="00781597">
      <w:pPr>
        <w:numPr>
          <w:ilvl w:val="0"/>
          <w:numId w:val="4"/>
        </w:numPr>
        <w:tabs>
          <w:tab w:val="left" w:pos="1418"/>
        </w:tabs>
        <w:spacing w:after="0" w:line="480" w:lineRule="auto"/>
        <w:ind w:left="709" w:hanging="426"/>
        <w:contextualSpacing/>
        <w:jc w:val="both"/>
      </w:pPr>
      <w:r w:rsidRPr="008C5435">
        <w:t>Skor 2 apabila gig ditutupi oleh debris lebih dari 1/3 tetapi kurang dari 2/3 dari luas permukaan gigi.</w:t>
      </w:r>
    </w:p>
    <w:p w:rsidR="00781597" w:rsidRPr="008C5435" w:rsidRDefault="00781597" w:rsidP="00781597">
      <w:pPr>
        <w:numPr>
          <w:ilvl w:val="0"/>
          <w:numId w:val="4"/>
        </w:numPr>
        <w:tabs>
          <w:tab w:val="left" w:pos="1418"/>
        </w:tabs>
        <w:spacing w:after="0" w:line="480" w:lineRule="auto"/>
        <w:ind w:left="709" w:hanging="426"/>
        <w:contextualSpacing/>
        <w:jc w:val="both"/>
      </w:pPr>
      <w:r w:rsidRPr="008C5435">
        <w:t>Skor 3 apabila gigi ditutupi oleh debris lebih dari 2/3 permukaan gigi skor debris indeks.</w:t>
      </w:r>
    </w:p>
    <w:p w:rsidR="00781597" w:rsidRPr="008C5435" w:rsidRDefault="00781597" w:rsidP="00781597">
      <w:pPr>
        <w:tabs>
          <w:tab w:val="left" w:pos="1418"/>
        </w:tabs>
        <w:spacing w:after="0" w:line="480" w:lineRule="auto"/>
        <w:ind w:left="2127"/>
        <w:jc w:val="both"/>
      </w:pPr>
      <w:r w:rsidRPr="008C5435">
        <w:rPr>
          <w:noProof/>
          <w:lang w:val="en-US"/>
        </w:rPr>
        <mc:AlternateContent>
          <mc:Choice Requires="wps">
            <w:drawing>
              <wp:anchor distT="0" distB="0" distL="114300" distR="114300" simplePos="0" relativeHeight="251659264" behindDoc="0" locked="0" layoutInCell="1" allowOverlap="1" wp14:anchorId="666CE6B9" wp14:editId="7ADC381F">
                <wp:simplePos x="0" y="0"/>
                <wp:positionH relativeFrom="column">
                  <wp:posOffset>1724025</wp:posOffset>
                </wp:positionH>
                <wp:positionV relativeFrom="paragraph">
                  <wp:posOffset>313690</wp:posOffset>
                </wp:positionV>
                <wp:extent cx="2514600" cy="0"/>
                <wp:effectExtent l="0" t="0" r="19050" b="19050"/>
                <wp:wrapNone/>
                <wp:docPr id="12" name="Straight Connector 3"/>
                <wp:cNvGraphicFramePr/>
                <a:graphic xmlns:a="http://schemas.openxmlformats.org/drawingml/2006/main">
                  <a:graphicData uri="http://schemas.microsoft.com/office/word/2010/wordprocessingShape">
                    <wps:wsp>
                      <wps:cNvCnPr/>
                      <wps:spPr>
                        <a:xfrm>
                          <a:off x="0" y="0"/>
                          <a:ext cx="2514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ACD012"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24.7pt" to="333.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" strokecolor="windowText" strokeweight=".5pt">
                <v:stroke joinstyle="miter"/>
              </v:line>
            </w:pict>
          </mc:Fallback>
        </mc:AlternateContent>
      </w:r>
      <w:r w:rsidRPr="008C5435">
        <w:t>DI = Skor Bukal/ Labial + Skor Palatal/Lingual</w:t>
      </w:r>
    </w:p>
    <w:p w:rsidR="00781597" w:rsidRPr="008C5435" w:rsidRDefault="00781597" w:rsidP="00781597">
      <w:pPr>
        <w:tabs>
          <w:tab w:val="left" w:pos="1418"/>
        </w:tabs>
        <w:spacing w:after="0" w:line="480" w:lineRule="auto"/>
        <w:jc w:val="both"/>
      </w:pPr>
      <w:r w:rsidRPr="008C5435">
        <w:tab/>
      </w:r>
      <w:r w:rsidRPr="008C5435">
        <w:tab/>
        <w:t xml:space="preserve">                                          Jumlah Segmen</w:t>
      </w:r>
    </w:p>
    <w:p w:rsidR="00781597" w:rsidRPr="008C5435" w:rsidRDefault="00781597" w:rsidP="00781597">
      <w:pPr>
        <w:tabs>
          <w:tab w:val="left" w:pos="1418"/>
        </w:tabs>
        <w:spacing w:after="0" w:line="480" w:lineRule="auto"/>
        <w:ind w:left="284" w:firstLine="709"/>
        <w:jc w:val="both"/>
      </w:pPr>
      <w:r w:rsidRPr="008C5435">
        <w:t>(Ferrial Hasan, Shafira dkk. 2020). Kaklulus merupakan kumpulan plak yang mengalami klasifikasi dan melekat erat pada permukaan gigi serta objek solid lainnya didalam mulut sehingga gigi menjadi kasar dan terasa tebal. Pada OHI penentu Calculus Indeks untuk setiap gigi dilakukan sebagai berikut :</w:t>
      </w:r>
    </w:p>
    <w:p w:rsidR="00781597" w:rsidRPr="008C5435" w:rsidRDefault="00781597" w:rsidP="00781597">
      <w:pPr>
        <w:numPr>
          <w:ilvl w:val="0"/>
          <w:numId w:val="5"/>
        </w:numPr>
        <w:tabs>
          <w:tab w:val="left" w:pos="1418"/>
        </w:tabs>
        <w:spacing w:after="0" w:line="480" w:lineRule="auto"/>
        <w:ind w:left="709" w:hanging="425"/>
        <w:contextualSpacing/>
        <w:jc w:val="both"/>
      </w:pPr>
      <w:r w:rsidRPr="008C5435">
        <w:t>Skor 0 apabila gigi bersih dari kalkulus.</w:t>
      </w:r>
    </w:p>
    <w:p w:rsidR="00781597" w:rsidRPr="008C5435" w:rsidRDefault="00781597" w:rsidP="00781597">
      <w:pPr>
        <w:numPr>
          <w:ilvl w:val="0"/>
          <w:numId w:val="5"/>
        </w:numPr>
        <w:tabs>
          <w:tab w:val="left" w:pos="1418"/>
        </w:tabs>
        <w:spacing w:after="0" w:line="480" w:lineRule="auto"/>
        <w:ind w:left="709" w:hanging="425"/>
        <w:contextualSpacing/>
        <w:jc w:val="both"/>
      </w:pPr>
      <w:r w:rsidRPr="008C5435">
        <w:t>Skor 1 apabila terdapat kalkulus tidak lebih dari 1/3 permukaan gigi mulai dari servikal.</w:t>
      </w:r>
    </w:p>
    <w:p w:rsidR="00781597" w:rsidRPr="008C5435" w:rsidRDefault="00781597" w:rsidP="00781597">
      <w:pPr>
        <w:numPr>
          <w:ilvl w:val="0"/>
          <w:numId w:val="5"/>
        </w:numPr>
        <w:tabs>
          <w:tab w:val="left" w:pos="1418"/>
        </w:tabs>
        <w:spacing w:after="0" w:line="480" w:lineRule="auto"/>
        <w:ind w:left="709" w:hanging="425"/>
        <w:contextualSpacing/>
        <w:jc w:val="both"/>
      </w:pPr>
      <w:r w:rsidRPr="008C5435">
        <w:t>Skor 2 apabila terdapat kalkulus supragingival lebih dari 1/3 tetapi kurang dari 2/3 dari permukaan gigi atau terdapat sedikit subgingival kalkulus.</w:t>
      </w:r>
    </w:p>
    <w:p w:rsidR="00781597" w:rsidRPr="008C5435" w:rsidRDefault="00781597" w:rsidP="00781597">
      <w:pPr>
        <w:numPr>
          <w:ilvl w:val="0"/>
          <w:numId w:val="5"/>
        </w:numPr>
        <w:tabs>
          <w:tab w:val="left" w:pos="1418"/>
        </w:tabs>
        <w:spacing w:after="0" w:line="480" w:lineRule="auto"/>
        <w:ind w:left="709" w:hanging="425"/>
        <w:contextualSpacing/>
        <w:jc w:val="both"/>
      </w:pPr>
      <w:r w:rsidRPr="008C5435">
        <w:t>Skor 3 apabila terdapat kalkulus lebih dari 2/3 dari permukaan gigi atau terdapat subgingival kalkulus yang melingkari servikal.</w:t>
      </w:r>
    </w:p>
    <w:p w:rsidR="00781597" w:rsidRPr="008C5435" w:rsidRDefault="00781597" w:rsidP="00781597">
      <w:pPr>
        <w:tabs>
          <w:tab w:val="left" w:pos="1418"/>
        </w:tabs>
        <w:spacing w:after="0" w:line="480" w:lineRule="auto"/>
        <w:ind w:left="1843"/>
        <w:jc w:val="both"/>
      </w:pPr>
      <w:r w:rsidRPr="008C5435">
        <w:rPr>
          <w:noProof/>
          <w:lang w:val="en-US"/>
        </w:rPr>
        <mc:AlternateContent>
          <mc:Choice Requires="wps">
            <w:drawing>
              <wp:anchor distT="0" distB="0" distL="114300" distR="114300" simplePos="0" relativeHeight="251660288" behindDoc="0" locked="0" layoutInCell="1" allowOverlap="1" wp14:anchorId="6D61F332" wp14:editId="61BBC1C5">
                <wp:simplePos x="0" y="0"/>
                <wp:positionH relativeFrom="column">
                  <wp:posOffset>1514475</wp:posOffset>
                </wp:positionH>
                <wp:positionV relativeFrom="paragraph">
                  <wp:posOffset>295275</wp:posOffset>
                </wp:positionV>
                <wp:extent cx="2647950" cy="0"/>
                <wp:effectExtent l="0" t="0" r="19050" b="19050"/>
                <wp:wrapNone/>
                <wp:docPr id="11" name="Straight Connector 4"/>
                <wp:cNvGraphicFramePr/>
                <a:graphic xmlns:a="http://schemas.openxmlformats.org/drawingml/2006/main">
                  <a:graphicData uri="http://schemas.microsoft.com/office/word/2010/wordprocessingShape">
                    <wps:wsp>
                      <wps:cNvCnPr/>
                      <wps:spPr>
                        <a:xfrm>
                          <a:off x="0" y="0"/>
                          <a:ext cx="26479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B37117"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25pt,23.25pt" to="327.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" strokecolor="windowText" strokeweight=".5pt">
                <v:stroke joinstyle="miter"/>
              </v:line>
            </w:pict>
          </mc:Fallback>
        </mc:AlternateContent>
      </w:r>
      <w:r w:rsidRPr="008C5435">
        <w:t>CI = Skor Bukal / Labial + Skor Palatal / Lingual</w:t>
      </w:r>
    </w:p>
    <w:p w:rsidR="00781597" w:rsidRPr="008C5435" w:rsidRDefault="00781597" w:rsidP="00781597">
      <w:pPr>
        <w:tabs>
          <w:tab w:val="left" w:pos="1418"/>
        </w:tabs>
        <w:spacing w:after="0" w:line="480" w:lineRule="auto"/>
        <w:ind w:left="1843"/>
        <w:jc w:val="both"/>
      </w:pPr>
      <w:r w:rsidRPr="008C5435">
        <w:t xml:space="preserve">                                   Jumlah Segmen</w:t>
      </w:r>
    </w:p>
    <w:p w:rsidR="00781597" w:rsidRDefault="00781597" w:rsidP="00781597">
      <w:pPr>
        <w:spacing w:after="0" w:line="480" w:lineRule="auto"/>
        <w:ind w:left="284" w:firstLine="567"/>
        <w:jc w:val="both"/>
      </w:pPr>
      <w:r w:rsidRPr="008C5435">
        <w:t xml:space="preserve">Hasil penelitian terdapat penurunan OHI-S anak tunagrahita sebelum dan sesudah penyuluhan pada perawat tunagrahita. (Nawang Palupi, Dyah dkk. </w:t>
      </w:r>
      <w:r w:rsidRPr="008C5435">
        <w:lastRenderedPageBreak/>
        <w:t>2017). Penyuluhan menggosok gigi dengan baik dan benar merupakan hal yang sangat penting untuk memperbaiki kebiasaan menggosok gigi yang kurang tepat sehingga dapat meningkatkan de</w:t>
      </w:r>
      <w:r>
        <w:t>rajat kesehatan gigi dan mulut.</w:t>
      </w:r>
    </w:p>
    <w:p w:rsidR="00781597" w:rsidRDefault="00781597" w:rsidP="00781597">
      <w:pPr>
        <w:pStyle w:val="Heading2"/>
      </w:pPr>
      <w:bookmarkStart w:id="9" w:name="_Toc107576279"/>
      <w:r>
        <w:t>Menggosok Gigi</w:t>
      </w:r>
      <w:bookmarkEnd w:id="9"/>
      <w:r>
        <w:t xml:space="preserve"> </w:t>
      </w:r>
    </w:p>
    <w:p w:rsidR="00781597" w:rsidRPr="00FC0C8A" w:rsidRDefault="00781597" w:rsidP="00781597">
      <w:pPr>
        <w:pStyle w:val="Heading3"/>
        <w:numPr>
          <w:ilvl w:val="0"/>
          <w:numId w:val="13"/>
        </w:numPr>
      </w:pPr>
      <w:bookmarkStart w:id="10" w:name="_Toc107576280"/>
      <w:r w:rsidRPr="00FC0C8A">
        <w:t>Pengertian Menggosok Gigi</w:t>
      </w:r>
      <w:bookmarkEnd w:id="10"/>
    </w:p>
    <w:p w:rsidR="00781597" w:rsidRDefault="00781597" w:rsidP="00781597">
      <w:pPr>
        <w:spacing w:after="0" w:line="480" w:lineRule="auto"/>
        <w:ind w:left="851" w:firstLine="567"/>
        <w:jc w:val="both"/>
      </w:pPr>
      <w:r w:rsidRPr="008C5435">
        <w:t>(Nasrullah, Dede. 2017) Menggosok gigi merupakan membersihkan gigi dengan menggunakan sikat gigi dan pasta gigi. Hasil rekapitulasi perkembangan kemampuan menggosok gigi menunjukan bahwa, siswa sebelum diberi tindakan sangat minim hal ini ditunjukan dengan skor yang rendah yaitu 41,6% untuk siswa YL. (Dyah. 2018). Hal tersebut membuktikan bahwa pengetahuan menggosok gigi dengan baik dan benar sangat diperlukan anak tunagrahita. Menggosok gigi dengan teratur dapat membantu mengurangi pembentukan plak, mencegah gigi berlubang dan mencegah penyakit gusi, serta menjaga memelihara jaringan sekitarnya. Menggosok gigi dapat berfungsi untuk pemijatan gusi untuk meningkatkan daya tahan jaringan gusi.Sikat gigi yang tepat dapat menjaga</w:t>
      </w:r>
      <w:r>
        <w:t xml:space="preserve"> kesehatan gigi dan sekitarnya.</w:t>
      </w:r>
    </w:p>
    <w:p w:rsidR="00781597" w:rsidRPr="008D0143" w:rsidRDefault="00781597" w:rsidP="00781597">
      <w:pPr>
        <w:pStyle w:val="Heading3"/>
        <w:rPr>
          <w:rFonts w:eastAsia="SimSun"/>
          <w:lang w:val="en-ID"/>
        </w:rPr>
      </w:pPr>
      <w:bookmarkStart w:id="11" w:name="_Toc107576281"/>
      <w:r>
        <w:t>Syarat Sikat Gigi yang Baik dan Benar</w:t>
      </w:r>
      <w:bookmarkEnd w:id="11"/>
    </w:p>
    <w:p w:rsidR="00781597" w:rsidRPr="008C5435" w:rsidRDefault="00781597" w:rsidP="00781597">
      <w:pPr>
        <w:spacing w:after="0" w:line="480" w:lineRule="auto"/>
        <w:ind w:left="851" w:firstLine="567"/>
        <w:contextualSpacing/>
        <w:jc w:val="both"/>
      </w:pPr>
      <w:r w:rsidRPr="008C5435">
        <w:t xml:space="preserve">Menggosok gigi dapat dilakukan dengan menggunkan sikat gigi manual maupun elektrik. Sikat gigi elektrik merupakan sikat gigi yang menggunakan baterai, dengan kepala sikat kecil dan bundar dengan bergerak memutar dan dapat menjangkau permukaan gigi yang sulit dicapai tanpa penekanan sehingga tidak merusak email dan gingiva (Wijaya, Tabaji. 2020). Bentuk sikat gigi manual yang baik dan benar </w:t>
      </w:r>
      <w:r w:rsidRPr="008C5435">
        <w:lastRenderedPageBreak/>
        <w:t>harus memenuhi persyaratan diantaranya yaitu memiliki permukaan bulu sikat yang terpotong rata, bulu sikat tersusun dari dua sampai empat baris rumpun serta setiap rumpun terdapat 5-12 rumpun perbaris, ukuran permukaan bulu sikatnya memiliki Panjang 2,5 – 3,0 mm dan lebar 8,0-9,5 mm.Selesai menggosok gigi, sikat gigi harus dibersihkan dibawah air mengalir supaya bersih kembali serta penggunaan sikat gigi yang baik dan benar yaitu 2 – 3 bulan setah itu sikat harus diganti yang baru agar bulu sikat bekerja optimal dan tidak melukai gusi.</w:t>
      </w:r>
    </w:p>
    <w:p w:rsidR="00781597" w:rsidRDefault="00781597" w:rsidP="00781597">
      <w:pPr>
        <w:tabs>
          <w:tab w:val="left" w:pos="1418"/>
        </w:tabs>
        <w:spacing w:after="0" w:line="480" w:lineRule="auto"/>
        <w:ind w:left="851" w:firstLine="850"/>
        <w:contextualSpacing/>
        <w:jc w:val="both"/>
      </w:pPr>
      <w:r w:rsidRPr="008C5435">
        <w:rPr>
          <w:noProof/>
          <w:lang w:val="en-US"/>
        </w:rPr>
        <mc:AlternateContent>
          <mc:Choice Requires="wps">
            <w:drawing>
              <wp:anchor distT="0" distB="0" distL="114300" distR="114300" simplePos="0" relativeHeight="251663360" behindDoc="0" locked="0" layoutInCell="1" allowOverlap="1" wp14:anchorId="7B057F19" wp14:editId="1CE9EECD">
                <wp:simplePos x="0" y="0"/>
                <wp:positionH relativeFrom="margin">
                  <wp:posOffset>635635</wp:posOffset>
                </wp:positionH>
                <wp:positionV relativeFrom="paragraph">
                  <wp:posOffset>1857375</wp:posOffset>
                </wp:positionV>
                <wp:extent cx="4486275" cy="761365"/>
                <wp:effectExtent l="0" t="0" r="9525" b="3175"/>
                <wp:wrapTopAndBottom/>
                <wp:docPr id="17" name="Text Box 18"/>
                <wp:cNvGraphicFramePr/>
                <a:graphic xmlns:a="http://schemas.openxmlformats.org/drawingml/2006/main">
                  <a:graphicData uri="http://schemas.microsoft.com/office/word/2010/wordprocessingShape">
                    <wps:wsp>
                      <wps:cNvSpPr txBox="1"/>
                      <wps:spPr>
                        <a:xfrm>
                          <a:off x="0" y="0"/>
                          <a:ext cx="4486275" cy="739775"/>
                        </a:xfrm>
                        <a:prstGeom prst="rect">
                          <a:avLst/>
                        </a:prstGeom>
                        <a:solidFill>
                          <a:prstClr val="white"/>
                        </a:solidFill>
                        <a:ln>
                          <a:noFill/>
                        </a:ln>
                      </wps:spPr>
                      <wps:txbx>
                        <w:txbxContent>
                          <w:p w:rsidR="00781597" w:rsidRDefault="00781597" w:rsidP="00781597">
                            <w:pPr>
                              <w:pStyle w:val="Caption"/>
                              <w:jc w:val="center"/>
                              <w:rPr>
                                <w:b/>
                                <w:i w:val="0"/>
                                <w:color w:val="auto"/>
                                <w:sz w:val="22"/>
                                <w:szCs w:val="22"/>
                              </w:rPr>
                            </w:pPr>
                            <w:r>
                              <w:rPr>
                                <w:b/>
                                <w:i w:val="0"/>
                                <w:color w:val="auto"/>
                                <w:sz w:val="22"/>
                                <w:szCs w:val="22"/>
                              </w:rPr>
                              <w:t>Gambar 2.3 Sikat Gigi Manual yang Baik dan Benar</w:t>
                            </w:r>
                          </w:p>
                          <w:p w:rsidR="00781597" w:rsidRPr="005A549C" w:rsidRDefault="00781597" w:rsidP="00781597">
                            <w:pPr>
                              <w:spacing w:line="240" w:lineRule="auto"/>
                              <w:jc w:val="center"/>
                              <w:rPr>
                                <w:b/>
                              </w:rPr>
                            </w:pPr>
                            <w:r>
                              <w:rPr>
                                <w:b/>
                              </w:rPr>
                              <w:t xml:space="preserve">Sumber : </w:t>
                            </w:r>
                            <w:hyperlink r:id="rId9" w:history="1">
                              <w:r w:rsidRPr="005A549C">
                                <w:rPr>
                                  <w:rStyle w:val="Hyperlink"/>
                                  <w:b/>
                                </w:rPr>
                                <w:t>https://egadioniputri.wordpress.com/2011/11/25/belajar-menyikat-gigi-lagi-dengan-benar/</w:t>
                              </w:r>
                            </w:hyperlink>
                            <w:r w:rsidRPr="005A549C">
                              <w:rPr>
                                <w: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B057F19" id="Text Box 18" o:spid="_x0000_s1028" type="#_x0000_t202" style="position:absolute;left:0;text-align:left;margin-left:50.05pt;margin-top:146.25pt;width:353.25pt;height:59.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" stroked="f">
                <v:textbox style="mso-fit-shape-to-text:t" inset="0,0,0,0">
                  <w:txbxContent>
                    <w:p w:rsidR="00781597" w:rsidRDefault="00781597" w:rsidP="00781597">
                      <w:pPr>
                        <w:pStyle w:val="Caption"/>
                        <w:jc w:val="center"/>
                        <w:rPr>
                          <w:b/>
                          <w:i w:val="0"/>
                          <w:color w:val="auto"/>
                          <w:sz w:val="22"/>
                          <w:szCs w:val="22"/>
                        </w:rPr>
                      </w:pPr>
                      <w:r>
                        <w:rPr>
                          <w:b/>
                          <w:i w:val="0"/>
                          <w:color w:val="auto"/>
                          <w:sz w:val="22"/>
                          <w:szCs w:val="22"/>
                        </w:rPr>
                        <w:t>Gambar 2.3 Sikat Gigi Manual yang Baik dan Benar</w:t>
                      </w:r>
                    </w:p>
                    <w:p w:rsidR="00781597" w:rsidRPr="005A549C" w:rsidRDefault="00781597" w:rsidP="00781597">
                      <w:pPr>
                        <w:spacing w:line="240" w:lineRule="auto"/>
                        <w:jc w:val="center"/>
                        <w:rPr>
                          <w:b/>
                        </w:rPr>
                      </w:pPr>
                      <w:r>
                        <w:rPr>
                          <w:b/>
                        </w:rPr>
                        <w:t xml:space="preserve">Sumber : </w:t>
                      </w:r>
                      <w:hyperlink r:id="rId10" w:history="1">
                        <w:r w:rsidRPr="005A549C">
                          <w:rPr>
                            <w:rStyle w:val="Hyperlink"/>
                            <w:b/>
                          </w:rPr>
                          <w:t>https://egadioniputri.wordpress.com/2011/11/25/belajar-menyikat-gigi-lagi-dengan-benar/</w:t>
                        </w:r>
                      </w:hyperlink>
                      <w:r w:rsidRPr="005A549C">
                        <w:rPr>
                          <w:b/>
                        </w:rPr>
                        <w:t>.</w:t>
                      </w:r>
                    </w:p>
                  </w:txbxContent>
                </v:textbox>
                <w10:wrap type="topAndBottom" anchorx="margin"/>
              </v:shape>
            </w:pict>
          </mc:Fallback>
        </mc:AlternateContent>
      </w:r>
      <w:r w:rsidRPr="008C5435">
        <w:rPr>
          <w:noProof/>
          <w:lang w:val="en-US"/>
        </w:rPr>
        <w:drawing>
          <wp:inline distT="0" distB="0" distL="0" distR="0" wp14:anchorId="557AE6BE" wp14:editId="66F2F0AC">
            <wp:extent cx="3124835" cy="1550670"/>
            <wp:effectExtent l="0" t="0" r="0" b="0"/>
            <wp:docPr id="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4835" cy="1550670"/>
                    </a:xfrm>
                    <a:prstGeom prst="rect">
                      <a:avLst/>
                    </a:prstGeom>
                    <a:noFill/>
                    <a:ln>
                      <a:noFill/>
                    </a:ln>
                  </pic:spPr>
                </pic:pic>
              </a:graphicData>
            </a:graphic>
          </wp:inline>
        </w:drawing>
      </w:r>
    </w:p>
    <w:p w:rsidR="00781597" w:rsidRPr="008D0143" w:rsidRDefault="00781597" w:rsidP="00781597">
      <w:pPr>
        <w:pStyle w:val="Heading3"/>
        <w:rPr>
          <w:rFonts w:eastAsia="SimSun"/>
          <w:lang w:val="en-ID"/>
        </w:rPr>
      </w:pPr>
      <w:bookmarkStart w:id="12" w:name="_Toc107576282"/>
      <w:r>
        <w:t>Pasta Gigi</w:t>
      </w:r>
      <w:bookmarkEnd w:id="12"/>
    </w:p>
    <w:p w:rsidR="00781597" w:rsidRPr="008C5435" w:rsidRDefault="00781597" w:rsidP="00781597">
      <w:pPr>
        <w:spacing w:after="0" w:line="480" w:lineRule="auto"/>
        <w:ind w:left="851" w:firstLine="567"/>
        <w:contextualSpacing/>
        <w:jc w:val="both"/>
      </w:pPr>
      <w:r w:rsidRPr="008C5435">
        <w:t xml:space="preserve">(Sugiyanto dkk. 2021). Diantara cara untuk mencegah terjadinya masalah kesehatan gigi dan mulut ialah dengan menggosok gigi menggunakan pasta gigi karena salah satu fungsi pasta gigi memelihara kesehatan gigi dan mulut. Selain itu fungsi pasta gigi yang baik dan benar dapat membantu membersihkan permukaan gigi dari sisa makanan dan pewarnaan gigi, dapat memperkilat gigi, menambah kesehatan gingiva, serta mengurangi bau mulut. Komposisi pasta gigi pada umumnya ialah yang mengandung bahan abrasive 20-40%, pelembab 20-40%, air 20%, </w:t>
      </w:r>
      <w:r w:rsidRPr="008C5435">
        <w:lastRenderedPageBreak/>
        <w:t>bahan penyegar  2%, bahan pemanis 2%, bahan pengikat 2%, detergen 1-2%, bahan terapeutik 5%, dan pewarna kurang dari 5% agar pasta gigi bekerja optimal dalam membersihkan gigi. Penggunaan pasta gigi yang tepat saat menggosok gigi ialah sebesar biji jagung.</w:t>
      </w:r>
    </w:p>
    <w:p w:rsidR="00781597" w:rsidRPr="0089634E" w:rsidRDefault="00781597" w:rsidP="00781597">
      <w:pPr>
        <w:keepNext/>
        <w:keepLines/>
        <w:spacing w:after="0" w:line="480" w:lineRule="auto"/>
        <w:ind w:left="1276" w:hanging="709"/>
        <w:outlineLvl w:val="2"/>
        <w:rPr>
          <w:rFonts w:eastAsia="Times New Roman"/>
          <w:lang w:val="en-US"/>
        </w:rPr>
      </w:pPr>
      <w:bookmarkStart w:id="13" w:name="_Toc95936739"/>
      <w:bookmarkStart w:id="14" w:name="_Toc107576283"/>
      <w:r w:rsidRPr="0089634E">
        <w:rPr>
          <w:rFonts w:eastAsia="Times New Roman"/>
          <w:lang w:val="id-ID"/>
        </w:rPr>
        <w:t xml:space="preserve">4. </w:t>
      </w:r>
      <w:r w:rsidRPr="0089634E">
        <w:rPr>
          <w:rFonts w:eastAsia="Times New Roman"/>
          <w:lang w:val="en-US"/>
        </w:rPr>
        <w:t xml:space="preserve">  </w:t>
      </w:r>
      <w:bookmarkEnd w:id="13"/>
      <w:r w:rsidRPr="0089634E">
        <w:rPr>
          <w:rFonts w:eastAsia="Times New Roman"/>
          <w:lang w:val="en-US"/>
        </w:rPr>
        <w:t>Teknik Menggosok Gigi</w:t>
      </w:r>
      <w:bookmarkEnd w:id="14"/>
      <w:r w:rsidRPr="0089634E">
        <w:rPr>
          <w:rFonts w:eastAsia="Times New Roman"/>
          <w:lang w:val="en-US"/>
        </w:rPr>
        <w:t xml:space="preserve">  </w:t>
      </w:r>
    </w:p>
    <w:p w:rsidR="00781597" w:rsidRPr="008C5435" w:rsidRDefault="00781597" w:rsidP="00781597">
      <w:pPr>
        <w:spacing w:after="0" w:line="480" w:lineRule="auto"/>
        <w:ind w:left="993" w:firstLine="567"/>
        <w:contextualSpacing/>
        <w:jc w:val="both"/>
      </w:pPr>
      <w:r w:rsidRPr="008C5435">
        <w:t>Menggosok gigi dapat dilakukkan dengan berbagai macam teknik diantaranya metode horizontal, vertikal, roll, bass, charter, Teknik sirkuler, maupun stillman. Teknik manapun yang digunakan dalam menggosok gigi tetap harus diperhatikan jangan sampai merusak struktur gigi dan teknik tersebut dapat membersihkan semua permukaan gigi terutama daerah saku gusi dan daerah interdental serta teknik yang digunakan harus sederhana, tepat dan efisien dalam menggosok gigi. Beberapa metode dalam menggosok gigi adalah :</w:t>
      </w:r>
    </w:p>
    <w:p w:rsidR="00781597" w:rsidRPr="008C5435" w:rsidRDefault="00781597" w:rsidP="00781597">
      <w:pPr>
        <w:numPr>
          <w:ilvl w:val="0"/>
          <w:numId w:val="6"/>
        </w:numPr>
        <w:spacing w:after="0" w:line="480" w:lineRule="auto"/>
        <w:ind w:left="1276" w:hanging="283"/>
        <w:contextualSpacing/>
        <w:jc w:val="both"/>
      </w:pPr>
      <w:r w:rsidRPr="008C5435">
        <w:t>Metode Horizontal, yaitu metode menggosok gigi dengan cara semua permukaan gigi disikat dengan gerakan ke kanan dan ke kiri. Metode tersebut sederhana tetapi kurang baik karena dapat mengakibatkan resesi gingiva dan abrasi gigi.</w:t>
      </w:r>
    </w:p>
    <w:p w:rsidR="00781597" w:rsidRPr="008C5435" w:rsidRDefault="00781597" w:rsidP="00781597">
      <w:pPr>
        <w:numPr>
          <w:ilvl w:val="0"/>
          <w:numId w:val="6"/>
        </w:numPr>
        <w:spacing w:after="0" w:line="480" w:lineRule="auto"/>
        <w:ind w:left="1276" w:hanging="283"/>
        <w:contextualSpacing/>
        <w:jc w:val="both"/>
      </w:pPr>
      <w:r w:rsidRPr="008C5435">
        <w:t>Metode Vertikal, yaitu metode menggosok gigi dengan menyikat bagian depan gigi, kedua rahang gigi tertutup lalu disikat dengan gerakan keatas dan kebawah dari bagian gusi ke gigi.</w:t>
      </w:r>
    </w:p>
    <w:p w:rsidR="00781597" w:rsidRPr="008C5435" w:rsidRDefault="00781597" w:rsidP="00781597">
      <w:pPr>
        <w:numPr>
          <w:ilvl w:val="0"/>
          <w:numId w:val="6"/>
        </w:numPr>
        <w:spacing w:after="0" w:line="480" w:lineRule="auto"/>
        <w:ind w:left="1276" w:hanging="283"/>
        <w:contextualSpacing/>
        <w:jc w:val="both"/>
      </w:pPr>
      <w:r w:rsidRPr="008C5435">
        <w:t xml:space="preserve">Metode Roll, yaitu metode menggosok gigi yang paling sering dianjurkan karena caranya yang sederhana tetapi efisien dapat digunakan seluruh bagian bagian gigi serta bertujuan untuk pemijatan gusi dan pemebrsihan bagian interdental. Cara metode ini dengan </w:t>
      </w:r>
      <w:r w:rsidRPr="008C5435">
        <w:lastRenderedPageBreak/>
        <w:t>meletakan ujung bulu sikat dengan posisi mengarah ke akar gigi dan arah bulu sikat pada margin gingiva, sehingga sebagian bulu sikat menekan gusi. Ujung bulu sikat digerakan dengan perlahan sehingga kepala sikat gigi bergerak membentuk lengkungan melalui permukaan gigi tidak terkecuali menyikat atas mahkota gigi. Gerakan tersebut diulangi 8-12 kali pada setiap daerah dengan sistematis.</w:t>
      </w:r>
    </w:p>
    <w:p w:rsidR="00781597" w:rsidRPr="008C5435" w:rsidRDefault="00781597" w:rsidP="00781597">
      <w:pPr>
        <w:numPr>
          <w:ilvl w:val="0"/>
          <w:numId w:val="6"/>
        </w:numPr>
        <w:spacing w:after="0" w:line="480" w:lineRule="auto"/>
        <w:ind w:left="1276" w:hanging="283"/>
        <w:contextualSpacing/>
        <w:jc w:val="both"/>
      </w:pPr>
      <w:r w:rsidRPr="008C5435">
        <w:t>Metode Stillman, yaitu metode menggosok gigi dengan menekan bulu sikat dari arah gusi ke gigi secara berulang, setelah di oklusal bulu sikat digerakan memutar dan diletakan pada area batas gusi dan gigi membentuk sudut 45 derajat dengan sumbu tegak gigi seperti metode Bass.</w:t>
      </w:r>
    </w:p>
    <w:p w:rsidR="00781597" w:rsidRPr="008C5435" w:rsidRDefault="00781597" w:rsidP="00781597">
      <w:pPr>
        <w:numPr>
          <w:ilvl w:val="0"/>
          <w:numId w:val="6"/>
        </w:numPr>
        <w:spacing w:after="0" w:line="480" w:lineRule="auto"/>
        <w:ind w:left="1276" w:hanging="283"/>
        <w:contextualSpacing/>
        <w:jc w:val="both"/>
      </w:pPr>
      <w:r w:rsidRPr="008C5435">
        <w:t>Metode Bass, yaitu metode menggosok gigi dengan memposisikan bulu sikat pada permukaan gigi membentuk sudut 45 derajat dengan panjang gigi dan diarahkan ke akar gigi sehingga menyentuh tepi gusi. Sikat gigi digerakan dengan getaran kecil kedepan dan kebelakang selama 15 detik, sikat gigi digenggam dengan arah vertical. Metode ini dapat memijat gusi dan dapat membersihkan saku gusi.</w:t>
      </w:r>
    </w:p>
    <w:p w:rsidR="00781597" w:rsidRDefault="00781597" w:rsidP="00781597">
      <w:pPr>
        <w:numPr>
          <w:ilvl w:val="0"/>
          <w:numId w:val="6"/>
        </w:numPr>
        <w:spacing w:after="0" w:line="480" w:lineRule="auto"/>
        <w:ind w:left="1276" w:hanging="283"/>
        <w:contextualSpacing/>
        <w:jc w:val="both"/>
      </w:pPr>
      <w:r w:rsidRPr="008C5435">
        <w:t xml:space="preserve">Metode Fones, yaitu metode menggosok gigi untuk meniru jalannya makanan dalam mulut waktu mengunyah, dan metode ini dianjurkan untuk anak kecil karena mudah dilakukan. Metode menggosok gigi ini dilakukan dengan cara bulu sikat ditempelkan tegak lurus pada permukaan gigi posisi rahang dengan mengatup, sikat gigi digerakan dengan membentuk lingkaran-lingkaran besar sehingga kedua rahang </w:t>
      </w:r>
      <w:r w:rsidRPr="008C5435">
        <w:lastRenderedPageBreak/>
        <w:t>dapat tersikat sekaligus. Permukaan belakang gigi gerakan yang dilakukan sama tetapi lingkarannya lebih kecil.</w:t>
      </w:r>
    </w:p>
    <w:p w:rsidR="00781597" w:rsidRDefault="00781597" w:rsidP="00781597">
      <w:pPr>
        <w:spacing w:after="0" w:line="480" w:lineRule="auto"/>
        <w:ind w:left="993" w:firstLine="708"/>
        <w:contextualSpacing/>
        <w:jc w:val="both"/>
      </w:pPr>
      <w:r w:rsidRPr="008C5435">
        <w:t>Perilaku menggosok gigi yang baik dan benar dengan menggosok gigi secara teratur minimal 2 (dua) kali sehari yaitu saat pagi setelah makan dan malam sebelum tidur, waktu menggosok gigi minimal 2 menit, menggunaka pasta gigi yang mengandung fluoride, dan menggunakan bentuk sikat gigi yang sesuai. Teknik Fones lebih baik dalam menurunkan skor plak anak dibandingkan dengan teknik WHO karena gerakan sirkuler pada teknik Fones dapat menjangkau daerah margin gingiva yang merupakan akumulasi plak, yang biasanya terlewat jika menyikat gigi dengan teknik WHO. (Salsabila, 2020). Teknik fones sangat cocok untuk anak anak termasuk anak tunagrahita karena menggosok gigi deng</w:t>
      </w:r>
      <w:r>
        <w:t>an gerakan ini mudah dilakukan.</w:t>
      </w:r>
    </w:p>
    <w:p w:rsidR="00781597" w:rsidRPr="00585A75" w:rsidRDefault="00781597" w:rsidP="00781597">
      <w:pPr>
        <w:pStyle w:val="Heading2"/>
        <w:rPr>
          <w:lang w:val="en-ID"/>
        </w:rPr>
      </w:pPr>
      <w:bookmarkStart w:id="15" w:name="_Toc107576284"/>
      <w:r>
        <w:t>Pengertian Anak Tunagrahita</w:t>
      </w:r>
      <w:bookmarkEnd w:id="15"/>
    </w:p>
    <w:p w:rsidR="00781597" w:rsidRPr="008C5435" w:rsidRDefault="00781597" w:rsidP="00781597">
      <w:pPr>
        <w:spacing w:after="0" w:line="480" w:lineRule="auto"/>
        <w:ind w:left="284" w:firstLine="567"/>
        <w:jc w:val="both"/>
      </w:pPr>
      <w:r w:rsidRPr="008C5435">
        <w:t>Yosiani, Novita. (2014). Didalam penelitiannya menerangkan bahwa anak tunagrahita ialah anak yang dalam mental dan intelektualnya mengalami hambatan sehingga berdampak pada perkembangan kognitif maupun perilaku adaptifnya, contoh perilaku anak tunagrahita tersebut seperti senang menyendiri, cenderung anak yang pendiam, kurang fokus, peka terhadap cahaya dan lain-lain. Tunagrahita memiliki asal kata tuna yang memiliki arti merugi dan grahita yang memiliki arti pikiran. Kata lain tunagrahita yaitu retardasi mental yang artinya keterbelakangan mental bila di sandingkan dengan orang yang normal.</w:t>
      </w:r>
    </w:p>
    <w:p w:rsidR="00781597" w:rsidRPr="008C5435" w:rsidRDefault="00781597" w:rsidP="00781597">
      <w:pPr>
        <w:spacing w:after="0" w:line="480" w:lineRule="auto"/>
        <w:ind w:left="284" w:firstLine="567"/>
        <w:jc w:val="both"/>
      </w:pPr>
      <w:r w:rsidRPr="008C5435">
        <w:t xml:space="preserve">Penelitian literature review F. Siti dkk pada tahun 2017 di dalam kustawan, D. (2016). Tunagrahita (seseorang yang memiliki hambatan kecerdasan) </w:t>
      </w:r>
      <w:r w:rsidRPr="008C5435">
        <w:lastRenderedPageBreak/>
        <w:t>merupakan anak yang memiliki intelegensi yang signifikan berada dibawah rata-rata dan disertai dengan ketidakmampuan dalam adaptasi perilaku yang muncul dalam masa perkembangan.</w:t>
      </w:r>
    </w:p>
    <w:p w:rsidR="00781597" w:rsidRPr="008C5435" w:rsidRDefault="00781597" w:rsidP="00781597">
      <w:pPr>
        <w:spacing w:after="0" w:line="480" w:lineRule="auto"/>
        <w:ind w:left="284" w:firstLine="567"/>
        <w:jc w:val="both"/>
      </w:pPr>
      <w:r w:rsidRPr="008C5435">
        <w:t>Buku Teknik mengajar siswa tunagrahita oleh Widjaya, Ardhi tahun 2016 pengertian tunagrahita ialah individu yang memiliki intelegensi yang signifikan berada di bawah rata-rata dan disertai dengan ketidakmampuan dalam adaptasi perilaku yang muncul dalam masa perkembangnnya. Pengertian tunagrahita yang lain yaitu Fungsi intelektual yang lamban yaitu IQ 70 kebawah berdasarkan standar tesintelegensi buku maupun dengan kata lain anak yang kekurangan dalam perilaku adaptif. Anak tunagrahita digolongkan ke dalam beberapa klasifikasi yaitu tunagrahita secara medis-biologis, sosial-psikis, dan secara klinis.</w:t>
      </w:r>
    </w:p>
    <w:p w:rsidR="00781597" w:rsidRPr="008C5435" w:rsidRDefault="00781597" w:rsidP="00781597">
      <w:pPr>
        <w:spacing w:after="0" w:line="480" w:lineRule="auto"/>
        <w:ind w:left="284" w:firstLine="567"/>
        <w:jc w:val="both"/>
      </w:pPr>
      <w:r w:rsidRPr="008C5435">
        <w:t xml:space="preserve">Penggolongan tunagrahita secara medis-biologis terdiri dari tunagrahita taraf perbatasan (IQ: 36-35), tunagrahita ringan (IQ: 36-51), tunagrahita sedang (IQ: 36-51), tunagrahita sangat berat (IQ: kurang dari 20) dan tunagrahita tak tergolongkan. Penggolongan anak tunagrahita secara sosial-psikologis, menurut kriterua perilaku   adaptif tidak berdasarkan taraf intelegensi, tetapi berdasarkan kematangan sosial, yaitu ringan, sedang, berat dan sangat berat. Secara klinis, tunagrahita dapat digolongkan atas dasar tipe atau ciri-ciri jasmaniah yaitu, </w:t>
      </w:r>
      <w:r w:rsidRPr="008C5435">
        <w:rPr>
          <w:i/>
        </w:rPr>
        <w:t>Sindroma Down/Mongoloid</w:t>
      </w:r>
      <w:r w:rsidRPr="008C5435">
        <w:t xml:space="preserve">, </w:t>
      </w:r>
      <w:r w:rsidRPr="008C5435">
        <w:rPr>
          <w:i/>
        </w:rPr>
        <w:t>Hydrocephalus</w:t>
      </w:r>
      <w:r w:rsidRPr="008C5435">
        <w:t xml:space="preserve"> yaitu ukuran kepala besar dan berisi cairan, </w:t>
      </w:r>
      <w:r w:rsidRPr="008C5435">
        <w:rPr>
          <w:i/>
        </w:rPr>
        <w:t>Microcephalus</w:t>
      </w:r>
      <w:r w:rsidRPr="008C5435">
        <w:t xml:space="preserve"> yaitu ukuran kepala terlalu kecil, </w:t>
      </w:r>
      <w:r w:rsidRPr="008C5435">
        <w:rPr>
          <w:i/>
        </w:rPr>
        <w:t>Macrocephalus</w:t>
      </w:r>
      <w:r w:rsidRPr="008C5435">
        <w:t xml:space="preserve"> yaitu ukuran kepala terlalu besar.</w:t>
      </w:r>
    </w:p>
    <w:p w:rsidR="00781597" w:rsidRDefault="00781597" w:rsidP="00781597">
      <w:pPr>
        <w:spacing w:after="0" w:line="480" w:lineRule="auto"/>
        <w:ind w:left="284" w:firstLine="567"/>
        <w:contextualSpacing/>
        <w:jc w:val="both"/>
      </w:pPr>
      <w:r w:rsidRPr="008C5435">
        <w:t xml:space="preserve">Daerah kesulitan utama proses belajar menyajikan tantangan yang signifikan bagi siswa dengan gangguan intelektual. Para siswa tunagrahita lebih </w:t>
      </w:r>
      <w:r w:rsidRPr="008C5435">
        <w:lastRenderedPageBreak/>
        <w:t>lambat untuk belajar dan umumnya mengalami kesulitan dalam bidang perhatian, pengolahan pemikiran, memori, generalisasi, persepsi, keterampilan perilaku adaptif. Faktor-faktor tersebut memiliki implikasi untuk bagaimana c</w:t>
      </w:r>
      <w:r>
        <w:t>ara mengajar siswa tunagrahita:</w:t>
      </w:r>
    </w:p>
    <w:p w:rsidR="00781597" w:rsidRPr="00B36B14" w:rsidRDefault="00781597" w:rsidP="00781597">
      <w:pPr>
        <w:pStyle w:val="Heading3"/>
        <w:numPr>
          <w:ilvl w:val="0"/>
          <w:numId w:val="14"/>
        </w:numPr>
        <w:rPr>
          <w:rFonts w:eastAsia="SimSun"/>
          <w:lang w:val="en-ID"/>
        </w:rPr>
      </w:pPr>
      <w:bookmarkStart w:id="16" w:name="_Toc107576285"/>
      <w:r>
        <w:t>Perhatian</w:t>
      </w:r>
      <w:bookmarkEnd w:id="16"/>
    </w:p>
    <w:p w:rsidR="00781597" w:rsidRDefault="00781597" w:rsidP="00781597">
      <w:pPr>
        <w:spacing w:after="0" w:line="480" w:lineRule="auto"/>
        <w:ind w:left="851" w:firstLine="708"/>
        <w:jc w:val="both"/>
      </w:pPr>
      <w:r w:rsidRPr="008C5435">
        <w:t>Siswa tunagrahita dengan gangguan intelektual perlu diajarkan dengan cara yang terstruktur bagaimana memperhatikan tugas. Siswa tunagrahita mungkin mengalai kesulitan melakikan tugas yang diberikan, mempertahankan perhatian untuk menyelesaikan tugas tersebut dan sulit mencerna materi (misalnya membedakan angka 9 dengan angka 6). Dengan kesulitan tersebut, hal yang diperlukan pendidik dalam menangani siswa tunagrahita yaitu denan cara, memberikan tugas yang menarik dan sesuai dengan kemampuan siswa serta memastikan tugas yang diberikan sesuai usia, melayani gaya belajar individu siswa tunagrahita, mengajarkan fitur kunci dari tugas atau situasi dan memberikan umpan balik yang sering dan spesifik terhadap kin</w:t>
      </w:r>
      <w:r>
        <w:t>erja anak tunagrahita tersebut.</w:t>
      </w:r>
    </w:p>
    <w:p w:rsidR="00781597" w:rsidRPr="00585A75" w:rsidRDefault="00781597" w:rsidP="00781597">
      <w:pPr>
        <w:pStyle w:val="Heading3"/>
        <w:rPr>
          <w:rFonts w:eastAsia="SimSun"/>
          <w:lang w:val="en-ID"/>
        </w:rPr>
      </w:pPr>
      <w:bookmarkStart w:id="17" w:name="_Toc107576286"/>
      <w:r>
        <w:t>Pengolahan Pikiran</w:t>
      </w:r>
      <w:bookmarkEnd w:id="17"/>
    </w:p>
    <w:p w:rsidR="00781597" w:rsidRDefault="00781597" w:rsidP="00781597">
      <w:pPr>
        <w:spacing w:after="0" w:line="480" w:lineRule="auto"/>
        <w:ind w:left="851" w:firstLine="709"/>
        <w:jc w:val="both"/>
      </w:pPr>
      <w:r w:rsidRPr="008C5435">
        <w:t xml:space="preserve">Siswa tunagrahita tersebut mungkin memiliki kesulitan dengan kecepatan dan organisasi proses berpikir, membentuk urutan logis dari ide-ide, interpretasi konsep simbolik dan abstrak, menghubungkan informasi baru dengan pengetahuan sebelumnya atau berdasar pengalaman anak tersebut, perseveration (pengulangan pembicaraan maupun perilaku). Dari kesulitan tersebut hal yang diperlukan pendidik dalam mengatasi siswa tunagrahita yaitu, pendidik perlu memberikan intruksi singkat dan jelas, </w:t>
      </w:r>
      <w:r w:rsidRPr="008C5435">
        <w:lastRenderedPageBreak/>
        <w:t>memungkinkan memberikan waktu tambahan bagi siswa tunagrahita untuk memproses pikiran, memeriksa pemahaman siswa (menggunakan pemahaman pertannyaan terbuka atau pernyataan misalnya, ceritakan ke ibu bagaimana menggosok gigi yang benar, daripada pertanyaan tertutup misalnya apakah siswa dapat memahami, memastikan penggunaan yang konsisten dari strategi managemen bahasa, pengajaran dan perilaku, memperlambat laju interuksi yang diberikan kepada anak tunagrahita, menggunakan dukungan visual/bergambar dan isyarat, dan menyediakan interuksi berurutan dari satu interuksi ke intruksi lainn</w:t>
      </w:r>
      <w:r>
        <w:t>ya.</w:t>
      </w:r>
    </w:p>
    <w:p w:rsidR="00781597" w:rsidRPr="00585A75" w:rsidRDefault="00781597" w:rsidP="00781597">
      <w:pPr>
        <w:pStyle w:val="Heading3"/>
        <w:rPr>
          <w:rFonts w:eastAsia="SimSun"/>
          <w:lang w:val="en-ID"/>
        </w:rPr>
      </w:pPr>
      <w:bookmarkStart w:id="18" w:name="_Toc107576287"/>
      <w:r>
        <w:t>Memori (Ingatan)</w:t>
      </w:r>
      <w:bookmarkEnd w:id="18"/>
    </w:p>
    <w:p w:rsidR="00781597" w:rsidRDefault="00781597" w:rsidP="00781597">
      <w:pPr>
        <w:spacing w:after="0" w:line="480" w:lineRule="auto"/>
        <w:ind w:left="851" w:firstLine="709"/>
        <w:jc w:val="both"/>
      </w:pPr>
      <w:r w:rsidRPr="008C5435">
        <w:t>Siswa tunagrahita dengan gangguan intelektual mungkin mengalami kesulitan dengan mempertahankan dan mengingat informasi. Kesulitan tersebut hal yang diperlukan pendidik dalam mengatasi siswa tunagrahita yaitu, memberikan banyak kesempatan untuk berlatih, mengklarifikasi untuk memastikan pemahaman, dan mendorong siswa tunagrahita untuk menggunakan buku harian buku komunikasi untuk mengaktifkan ingatan mengenai lingkungan maupun hal yang di pelajari.</w:t>
      </w:r>
    </w:p>
    <w:p w:rsidR="00781597" w:rsidRPr="00414DBF" w:rsidRDefault="00781597" w:rsidP="00781597">
      <w:pPr>
        <w:pStyle w:val="Heading3"/>
        <w:rPr>
          <w:rFonts w:eastAsia="SimSun"/>
          <w:lang w:val="en-ID"/>
        </w:rPr>
      </w:pPr>
      <w:bookmarkStart w:id="19" w:name="_Toc107576288"/>
      <w:r>
        <w:t>Generalisasi</w:t>
      </w:r>
      <w:bookmarkEnd w:id="19"/>
    </w:p>
    <w:p w:rsidR="00781597" w:rsidRDefault="00781597" w:rsidP="00781597">
      <w:pPr>
        <w:spacing w:after="0" w:line="480" w:lineRule="auto"/>
        <w:ind w:left="851" w:firstLine="709"/>
        <w:jc w:val="both"/>
      </w:pPr>
      <w:r w:rsidRPr="008C5435">
        <w:t xml:space="preserve">Anak dengan gangguan intelekual dapat mengalami kesulitan yang cukup untuk mentrasfer keterampilan yang dipelajari dalam situasi yang lain (misalnya keterampilan berhitung untuk langsung diterapkan dalam proses jual beli seperti menghitung kembalian), dari kesulitan tersebut hal yang diperlukan pendidik dalam mengatasi siswa tunagrahita untuk men-generalisasi keterampilan belajar di berbagai lokasi, orang, bahan dan </w:t>
      </w:r>
      <w:r w:rsidRPr="008C5435">
        <w:lastRenderedPageBreak/>
        <w:t>waktu yaitu sebagai berikut, menciptakan lingkungan seperti kehidupan nyata, menggunakan cara bermain peran, rencana kontijensi berkembang (misalnya berlatih membeli barang dengan uang lebih dan memastikan kembalian yang pas), dan mendorong (pictorial, verbal) mengenal situasi sebelumnya atau keterampilan menghubungkan antara situasi yang sudah dikenal dengan</w:t>
      </w:r>
      <w:r>
        <w:t xml:space="preserve"> situasi baru atau asing.</w:t>
      </w:r>
    </w:p>
    <w:p w:rsidR="00781597" w:rsidRPr="00414DBF" w:rsidRDefault="00781597" w:rsidP="00781597">
      <w:pPr>
        <w:pStyle w:val="Heading3"/>
        <w:rPr>
          <w:rFonts w:eastAsia="SimSun"/>
          <w:lang w:val="en-ID"/>
        </w:rPr>
      </w:pPr>
      <w:bookmarkStart w:id="20" w:name="_Toc107576289"/>
      <w:r>
        <w:t>Persepsi</w:t>
      </w:r>
      <w:bookmarkEnd w:id="20"/>
    </w:p>
    <w:p w:rsidR="00781597" w:rsidRDefault="00781597" w:rsidP="00781597">
      <w:pPr>
        <w:spacing w:after="0" w:line="480" w:lineRule="auto"/>
        <w:ind w:left="851" w:firstLine="709"/>
        <w:jc w:val="both"/>
      </w:pPr>
      <w:r w:rsidRPr="008C5435">
        <w:t>Anak tunagrahita dengan gangguan intektual mungkin memiliki kesulitan merekam informasi melalui modus sensorik tertentu (misalnya pendengaran atau visual). Mereka juga mungkin mengalami kesulitan untuk membuat makna dari apa yang telah dirasakan (misalnya menafsirkan gambar). Dari kesulitan tersebut hal yang diperlukan pendidik dalam mengatasi siswa tunagrahita yaitu dengan cara, menggunakan satu-ke-satu intruksi (secara berurutan), menggunakan pembelajaran kooperatif/ interuksi ke kelompok kecil, memberikan interuksi yang singkat dan jelas, dan memberikan dukungan visual yang menggunakan contoh nya</w:t>
      </w:r>
      <w:r>
        <w:t>ta seperti situasi sesungguhnya.</w:t>
      </w:r>
    </w:p>
    <w:p w:rsidR="00781597" w:rsidRPr="00414DBF" w:rsidRDefault="00781597" w:rsidP="00781597">
      <w:pPr>
        <w:pStyle w:val="Heading3"/>
        <w:rPr>
          <w:rFonts w:eastAsia="SimSun"/>
          <w:lang w:val="en-ID"/>
        </w:rPr>
      </w:pPr>
      <w:bookmarkStart w:id="21" w:name="_Toc107576290"/>
      <w:r>
        <w:t>Keterampilan Perilaku Adaptif</w:t>
      </w:r>
      <w:bookmarkEnd w:id="21"/>
    </w:p>
    <w:p w:rsidR="00781597" w:rsidRDefault="00781597" w:rsidP="00781597">
      <w:pPr>
        <w:spacing w:after="0" w:line="480" w:lineRule="auto"/>
        <w:ind w:left="851" w:firstLine="709"/>
        <w:jc w:val="both"/>
      </w:pPr>
      <w:r w:rsidRPr="008C5435">
        <w:t xml:space="preserve">Anak tunagrahita memperoleh keterampilan adaptif (keterampilan sehari-hari) melalui pembelajaran insidental. Siswa tunagrahita mungkin memerlukan interuksi khusus dan pelatihan untuk mencapai kompetensi dalam keterampilan ini. Keterampilan adaptif menjadi penting adanya ketika diperkenalkan atau diajarkan kepada anak-anak tunagrahita yang jelas berbeda, seperti kemandirian mengurus diri sendiri maupun kepekaan </w:t>
      </w:r>
      <w:r w:rsidRPr="008C5435">
        <w:lastRenderedPageBreak/>
        <w:t>terhadap lingkungan sosial. Anak tunagrahita cenderung sulit mempelajari sikap tertentu bahkan melakuakn pekerjaan yang ditugaskan kepadanya. Hal tersebut tampak pada kesalahan anak tunagrahita saat melakukan tugas tersebut. Hal ini dikarenakan faktor kognitif anak tunagrahita lemah dalam hal perhatian, ingatan, berbicara dengan bahasa yang baik serta kemampuan akademis. Kemampuan tersebut membawa sikap kurang percaya diri pada anak tunagrahita sehingga memerlukan bantuan dan bimbingan orang lain sehingga dapat memilih pergaulan sosial yang baik. Berkaitan dengan hal tersebut dibutuhkan Pendidikan kesehatan gigi dan mulut.</w:t>
      </w:r>
      <w:bookmarkStart w:id="22" w:name="_Toc95936747"/>
    </w:p>
    <w:p w:rsidR="00781597" w:rsidRPr="00847E25" w:rsidRDefault="00781597" w:rsidP="00781597">
      <w:pPr>
        <w:pStyle w:val="Heading2"/>
        <w:rPr>
          <w:lang w:val="en-ID"/>
        </w:rPr>
      </w:pPr>
      <w:bookmarkStart w:id="23" w:name="_Toc107576291"/>
      <w:r w:rsidRPr="008C5435">
        <w:t>Pendidikan Kesehatan Gigi</w:t>
      </w:r>
      <w:bookmarkEnd w:id="22"/>
      <w:bookmarkEnd w:id="23"/>
    </w:p>
    <w:p w:rsidR="00781597" w:rsidRPr="008C5435" w:rsidRDefault="00781597" w:rsidP="00781597">
      <w:pPr>
        <w:spacing w:after="0" w:line="480" w:lineRule="auto"/>
        <w:ind w:left="284" w:firstLine="567"/>
        <w:jc w:val="both"/>
      </w:pPr>
      <w:r w:rsidRPr="008C5435">
        <w:t xml:space="preserve">Menurut buku Kedokteran Gigi Klinik Tahun 2002, tujuan Pendidikan gigi adalah untuk memengaruhi sikap dan perilaku individu agar memelihara kesehatan giginya seumur hidup dan mencegah penyakit gigi. Pencegahan primer untuk mencegah terjadinya penyakit atau kelainan awal dan ditunjukan untuk orang yang sehat. Pencegahan sekunder ditunjukan untuk menghentikan penyakit dengan deteksi dini dan perawatan. Pencegahan tersier membantu individu menangani efek penyakit dan mencegah kambuhnya penyakit dikemudian hari. Tingkat Pendidikan sangat berpengaruh kepada pengetahuan, sikap, dan perilaku hidup sehat. </w:t>
      </w:r>
      <w:r w:rsidRPr="008C5435">
        <w:fldChar w:fldCharType="begin" w:fldLock="1"/>
      </w:r>
      <w:r w:rsidRPr="008C5435">
        <w:instrText>ADDIN CSL_CITATION {"citationItems":[{"id":"ITEM-1","itemData":{"author":[{"dropping-particle":"","family":"Notoadmojo","given":"S","non-dropping-particle":"","parse-names":false,"suffix":""}],"id":"ITEM-1","issued":{"date-parts":[["2018"]]},"publisher":"PT. Rineka Cipta","publisher-place":"Jakarta","title":"Metodologi Penelitian Kesehatan","type":"book"},"uris":["http://www.mendeley.com/documents/?uuid=98f7e45e-94ff-47c4-a73b-6fda51d4127f"]}],"mendeley":{"formattedCitation":"(S Notoadmojo, 2018)","plainTextFormattedCitation":"(S Notoadmojo, 2018)","previouslyFormattedCitation":"(S Notoadmojo, 2018)"},"properties":{"noteIndex":0},"schema":"https://github.com/citation-style-language/schema/raw/master/csl-citation.json"}</w:instrText>
      </w:r>
      <w:r w:rsidRPr="008C5435">
        <w:fldChar w:fldCharType="separate"/>
      </w:r>
      <w:r w:rsidRPr="008C5435">
        <w:rPr>
          <w:noProof/>
        </w:rPr>
        <w:t>(S Notoadmojo, 2018)</w:t>
      </w:r>
      <w:r w:rsidRPr="008C5435">
        <w:fldChar w:fldCharType="end"/>
      </w:r>
      <w:r w:rsidRPr="008C5435">
        <w:t>.</w:t>
      </w:r>
    </w:p>
    <w:p w:rsidR="00781597" w:rsidRDefault="00781597" w:rsidP="00781597">
      <w:pPr>
        <w:spacing w:after="0" w:line="480" w:lineRule="auto"/>
        <w:ind w:left="284" w:firstLine="567"/>
        <w:jc w:val="both"/>
      </w:pPr>
      <w:r w:rsidRPr="008C5435">
        <w:t xml:space="preserve">Peneliti ingin mempraktekan pencegahan primer dimana kegiatan penelitian ini mencangkup kegiatan preventif kepada anak tunagrahita dengan cara pendekatan </w:t>
      </w:r>
      <w:r w:rsidRPr="008C5435">
        <w:rPr>
          <w:i/>
        </w:rPr>
        <w:t>Tell Show Do</w:t>
      </w:r>
      <w:r w:rsidRPr="008C5435">
        <w:t xml:space="preserve"> (TSD) cara menggosok gigi yang baik dan benar pada anak tunagrahita. Kunci keberhasilan pendidikan kesehatan gigi yaitu </w:t>
      </w:r>
      <w:r w:rsidRPr="008C5435">
        <w:lastRenderedPageBreak/>
        <w:t xml:space="preserve">relevan dengan individu, gaya hidup, dan masalah mereka, jaga agar pesan sederhana karena terlalu banyak informasi dapat menjadi tidak efektif, pengulangan pesan, dan penguatan positif. Dalam </w:t>
      </w:r>
      <w:r w:rsidRPr="008C5435">
        <w:rPr>
          <w:i/>
        </w:rPr>
        <w:t>Community Dental services</w:t>
      </w:r>
      <w:r w:rsidRPr="008C5435">
        <w:t xml:space="preserve"> (CDS) salah satu cakupannya yaitu memberikan promosi kesehatan mulut. (Buku Kedokteran Gigi Klinik. 2002. Hal 47). Hal yang berkaitan dengan promosi kesehatan gigi dan mulut agar dapat diterima dan diterapkan dengan meningkatkan pengetahuan kesehatan gigi dan mulut kepada masyarakat yang salah satunya kepada anak tunagrahita. </w:t>
      </w:r>
    </w:p>
    <w:p w:rsidR="00781597" w:rsidRPr="00847E25" w:rsidRDefault="00781597" w:rsidP="00781597">
      <w:pPr>
        <w:pStyle w:val="Heading2"/>
        <w:rPr>
          <w:lang w:val="en-ID"/>
        </w:rPr>
      </w:pPr>
      <w:bookmarkStart w:id="24" w:name="_Toc107576292"/>
      <w:r>
        <w:t>Pengetahuan</w:t>
      </w:r>
      <w:bookmarkEnd w:id="24"/>
    </w:p>
    <w:p w:rsidR="00781597" w:rsidRDefault="00781597" w:rsidP="00781597">
      <w:pPr>
        <w:spacing w:line="480" w:lineRule="auto"/>
        <w:ind w:left="284" w:firstLine="567"/>
        <w:jc w:val="both"/>
      </w:pPr>
      <w:r w:rsidRPr="008C5435">
        <w:t xml:space="preserve">Pengetahuan ialah hasil “tahu” dan hal ini terjadi setelah orang melakukan pengindraan terhadap suatu objek tertentu. Penginderaan terjadi melalui panca indra manusia, yakni indra pengelihatan, pendengaran, penciuman, perasaan dan peraba, sebagian besar pengetahuan manusia diperoleh melalui mata dan telinga. </w:t>
      </w:r>
      <w:r w:rsidRPr="008C5435">
        <w:fldChar w:fldCharType="begin" w:fldLock="1"/>
      </w:r>
      <w:r w:rsidRPr="008C5435">
        <w:instrText>ADDIN CSL_CITATION {"citationItems":[{"id":"ITEM-1","itemData":{"author":[{"dropping-particle":"","family":"Notoadmojo","given":"Sukidjo","non-dropping-particle":"","parse-names":false,"suffix":""}],"id":"ITEM-1","issued":{"date-parts":[["2018"]]},"publisher-place":"Jakarta","title":"Metodologi Penelitian Kesehatan","type":"book"},"uris":["http://www.mendeley.com/documents/?uuid=9fd62baf-316e-45c3-880f-3df5df70d2b4"]}],"mendeley":{"formattedCitation":"(Sukidjo Notoadmojo, 2018)","plainTextFormattedCitation":"(Sukidjo Notoadmojo, 2018)","previouslyFormattedCitation":"(Sukidjo Notoadmojo, 2018)"},"properties":{"noteIndex":0},"schema":"https://github.com/citation-style-language/schema/raw/master/csl-citation.json"}</w:instrText>
      </w:r>
      <w:r w:rsidRPr="008C5435">
        <w:fldChar w:fldCharType="separate"/>
      </w:r>
      <w:r w:rsidRPr="008C5435">
        <w:rPr>
          <w:noProof/>
        </w:rPr>
        <w:t>(Sukidjo Notoadmojo, 2018)</w:t>
      </w:r>
      <w:r w:rsidRPr="008C5435">
        <w:fldChar w:fldCharType="end"/>
      </w:r>
      <w:r w:rsidRPr="008C5435">
        <w:t xml:space="preserve">. Pengetahuan ialah domain yang sangat penting untuk terbentuknya tindakan seseorang, perilaku yang didasari oleh pengetahuan akan lebih lama dari pada perilaku yang tidak didasari pengetahuan. Penerimaan perilaku baru atau adopsi perilaku yang didasari oleh pengetahuan dan kesadaran akan tidak berlangsung lama. </w:t>
      </w:r>
      <w:r w:rsidRPr="008C5435">
        <w:fldChar w:fldCharType="begin" w:fldLock="1"/>
      </w:r>
      <w:r w:rsidRPr="008C5435">
        <w:instrText>ADDIN CSL_CITATION {"citationItems":[{"id":"ITEM-1","itemData":{"author":[{"dropping-particle":"","family":"Notoadmojo","given":"Sukidjo","non-dropping-particle":"","parse-names":false,"suffix":""}],"id":"ITEM-1","issued":{"date-parts":[["2018"]]},"publisher-place":"Jakarta","title":"Metodologi Penelitian Kesehatan","type":"book"},"uris":["http://www.mendeley.com/documents/?uuid=9fd62baf-316e-45c3-880f-3df5df70d2b4"]}],"mendeley":{"formattedCitation":"(Sukidjo Notoadmojo, 2018)","plainTextFormattedCitation":"(Sukidjo Notoadmojo, 2018)","previouslyFormattedCitation":"(Sukidjo Notoadmojo, 2018)"},"properties":{"noteIndex":0},"schema":"https://github.com/citation-style-language/schema/raw/master/csl-citation.json"}</w:instrText>
      </w:r>
      <w:r w:rsidRPr="008C5435">
        <w:fldChar w:fldCharType="separate"/>
      </w:r>
      <w:r w:rsidRPr="008C5435">
        <w:rPr>
          <w:noProof/>
        </w:rPr>
        <w:t>(Sukidjo Notoadmojo, 2018)</w:t>
      </w:r>
      <w:r w:rsidRPr="008C5435">
        <w:fldChar w:fldCharType="end"/>
      </w:r>
      <w:r w:rsidRPr="008C5435">
        <w:t>.</w:t>
      </w:r>
      <w:r>
        <w:t xml:space="preserve"> </w:t>
      </w:r>
    </w:p>
    <w:p w:rsidR="00781597" w:rsidRPr="00B36B14" w:rsidRDefault="00781597" w:rsidP="00781597">
      <w:pPr>
        <w:pStyle w:val="Heading3"/>
        <w:numPr>
          <w:ilvl w:val="0"/>
          <w:numId w:val="15"/>
        </w:numPr>
        <w:rPr>
          <w:rFonts w:eastAsia="SimSun"/>
          <w:lang w:val="en-ID"/>
        </w:rPr>
      </w:pPr>
      <w:bookmarkStart w:id="25" w:name="_Toc107576293"/>
      <w:r>
        <w:t>Tingkat Pengetahuan Dalam Domain Kognitif</w:t>
      </w:r>
      <w:bookmarkEnd w:id="25"/>
    </w:p>
    <w:p w:rsidR="00781597" w:rsidRDefault="00781597" w:rsidP="00781597">
      <w:pPr>
        <w:spacing w:line="480" w:lineRule="auto"/>
        <w:ind w:left="851" w:firstLine="708"/>
        <w:contextualSpacing/>
        <w:jc w:val="both"/>
      </w:pPr>
      <w:r w:rsidRPr="008C5435">
        <w:t xml:space="preserve">Pengetahuan ialah hasil dari pengindraan seseorang atau hasil tahu terhadap objek melalui indera yang dimiliki seperti mata, hidung, telinga, dan sebagainya </w:t>
      </w:r>
      <w:r w:rsidRPr="008C5435">
        <w:fldChar w:fldCharType="begin" w:fldLock="1"/>
      </w:r>
      <w:r w:rsidRPr="008C5435">
        <w:instrText>ADDIN CSL_CITATION {"citationItems":[{"id":"ITEM-1","itemData":{"author":[{"dropping-particle":"","family":"Notoadmojo","given":"Sukidjo","non-dropping-particle":"","parse-names":false,"suffix":""}],"id":"ITEM-1","issued":{"date-parts":[["2018"]]},"publisher-place":"Jakarta","title":"Metodologi Penelitian Kesehatan","type":"book"},"uris":["http://www.mendeley.com/documents/?uuid=9fd62baf-316e-45c3-880f-3df5df70d2b4"]}],"mendeley":{"formattedCitation":"(Sukidjo Notoadmojo, 2018)","plainTextFormattedCitation":"(Sukidjo Notoadmojo, 2018)","previouslyFormattedCitation":"(Sukidjo Notoadmojo, 2018)"},"properties":{"noteIndex":0},"schema":"https://github.com/citation-style-language/schema/raw/master/csl-citation.json"}</w:instrText>
      </w:r>
      <w:r w:rsidRPr="008C5435">
        <w:fldChar w:fldCharType="separate"/>
      </w:r>
      <w:r w:rsidRPr="008C5435">
        <w:rPr>
          <w:noProof/>
        </w:rPr>
        <w:t>(Sukidjo Notoadmojo, 2018)</w:t>
      </w:r>
      <w:r w:rsidRPr="008C5435">
        <w:fldChar w:fldCharType="end"/>
      </w:r>
      <w:r w:rsidRPr="008C5435">
        <w:t>. Pengetahuan yang memiliki tingkatan, adalah :</w:t>
      </w:r>
    </w:p>
    <w:p w:rsidR="00781597" w:rsidRPr="008C5435" w:rsidRDefault="00781597" w:rsidP="00781597">
      <w:pPr>
        <w:spacing w:line="480" w:lineRule="auto"/>
        <w:ind w:left="851" w:firstLine="708"/>
        <w:contextualSpacing/>
        <w:jc w:val="both"/>
        <w:rPr>
          <w:lang w:val="id-ID"/>
        </w:rPr>
      </w:pPr>
    </w:p>
    <w:p w:rsidR="00781597" w:rsidRPr="008C5435" w:rsidRDefault="00781597" w:rsidP="00781597">
      <w:pPr>
        <w:numPr>
          <w:ilvl w:val="0"/>
          <w:numId w:val="7"/>
        </w:numPr>
        <w:spacing w:line="480" w:lineRule="auto"/>
        <w:ind w:left="1276" w:hanging="284"/>
        <w:contextualSpacing/>
        <w:jc w:val="both"/>
      </w:pPr>
      <w:r w:rsidRPr="008C5435">
        <w:lastRenderedPageBreak/>
        <w:t>Tahu (</w:t>
      </w:r>
      <w:r w:rsidRPr="008C5435">
        <w:rPr>
          <w:i/>
        </w:rPr>
        <w:t>know</w:t>
      </w:r>
      <w:r w:rsidRPr="008C5435">
        <w:t>)</w:t>
      </w:r>
    </w:p>
    <w:p w:rsidR="00781597" w:rsidRPr="008C5435" w:rsidRDefault="00781597" w:rsidP="00781597">
      <w:pPr>
        <w:spacing w:line="480" w:lineRule="auto"/>
        <w:ind w:left="1276" w:firstLine="709"/>
        <w:contextualSpacing/>
        <w:jc w:val="both"/>
      </w:pPr>
      <w:r w:rsidRPr="008C5435">
        <w:t>Tahu yang memiliki arti sebagai pengingat suatu materi yang sudah dipelajari sebelumnya. Pengetahuan yang termasuk dalam tingkat ini ialah mengingat kembali (</w:t>
      </w:r>
      <w:r w:rsidRPr="008C5435">
        <w:rPr>
          <w:i/>
        </w:rPr>
        <w:t>recall</w:t>
      </w:r>
      <w:r w:rsidRPr="008C5435">
        <w:t>) sesuatu yang spesifik dari dari seluruh bahan yang dipelajari atau rangsangan yang telah diterima. Hal ini merupakan tingkatan pengetahuan yang paling rendah untuk mengukur bahwa seseorang mengetahui tentang apa yang dipelajari antara lain menyebutkan, menguraikan, mendefinisikan, menyatakan dan lain sebagainya.</w:t>
      </w:r>
    </w:p>
    <w:p w:rsidR="00781597" w:rsidRPr="008C5435" w:rsidRDefault="00781597" w:rsidP="00781597">
      <w:pPr>
        <w:numPr>
          <w:ilvl w:val="0"/>
          <w:numId w:val="7"/>
        </w:numPr>
        <w:spacing w:line="480" w:lineRule="auto"/>
        <w:ind w:left="1276" w:hanging="284"/>
        <w:contextualSpacing/>
        <w:jc w:val="both"/>
      </w:pPr>
      <w:r w:rsidRPr="008C5435">
        <w:t>Memahami (</w:t>
      </w:r>
      <w:r w:rsidRPr="008C5435">
        <w:rPr>
          <w:i/>
        </w:rPr>
        <w:t>comprehensif</w:t>
      </w:r>
      <w:r w:rsidRPr="008C5435">
        <w:t>)</w:t>
      </w:r>
    </w:p>
    <w:p w:rsidR="00781597" w:rsidRPr="008C5435" w:rsidRDefault="00781597" w:rsidP="00781597">
      <w:pPr>
        <w:spacing w:line="480" w:lineRule="auto"/>
        <w:ind w:left="1276" w:firstLine="708"/>
        <w:contextualSpacing/>
        <w:jc w:val="both"/>
      </w:pPr>
      <w:r w:rsidRPr="008C5435">
        <w:t>Memahami memiliki arti sebagai suatu kemampuan untuk menjelaskan secara benar objek yang diketahui dan dapat menginterpretasikan materi tersebut secara benar. Seseorang yang paham terhadap objek yang dipelajari dengan baik.</w:t>
      </w:r>
    </w:p>
    <w:p w:rsidR="00781597" w:rsidRPr="008C5435" w:rsidRDefault="00781597" w:rsidP="00781597">
      <w:pPr>
        <w:numPr>
          <w:ilvl w:val="0"/>
          <w:numId w:val="7"/>
        </w:numPr>
        <w:spacing w:line="480" w:lineRule="auto"/>
        <w:ind w:left="1276" w:hanging="283"/>
        <w:contextualSpacing/>
        <w:jc w:val="both"/>
      </w:pPr>
      <w:r w:rsidRPr="008C5435">
        <w:t>Aplikasi (</w:t>
      </w:r>
      <w:r w:rsidRPr="008C5435">
        <w:rPr>
          <w:i/>
        </w:rPr>
        <w:t>application</w:t>
      </w:r>
      <w:r w:rsidRPr="008C5435">
        <w:t>)</w:t>
      </w:r>
    </w:p>
    <w:p w:rsidR="00781597" w:rsidRPr="008C5435" w:rsidRDefault="00781597" w:rsidP="00781597">
      <w:pPr>
        <w:spacing w:line="480" w:lineRule="auto"/>
        <w:ind w:left="1276" w:firstLine="709"/>
        <w:contextualSpacing/>
        <w:jc w:val="both"/>
      </w:pPr>
      <w:r w:rsidRPr="008C5435">
        <w:t>Aplikasi memiliki arti suatu kemampuan untuk menggunakan yang telah dipelajari pada situasi atau kondisi sebenarnya (</w:t>
      </w:r>
      <w:r w:rsidRPr="008C5435">
        <w:rPr>
          <w:i/>
        </w:rPr>
        <w:t>real</w:t>
      </w:r>
      <w:r w:rsidRPr="008C5435">
        <w:t>),aplikasi disini dapat diartikan sebagai aplikasi atau pengguna hukum-hukum, rumus, metode, prinsip, dan dalam konteks  maupun situasi yang lain.</w:t>
      </w:r>
    </w:p>
    <w:p w:rsidR="00781597" w:rsidRPr="008C5435" w:rsidRDefault="00781597" w:rsidP="00781597">
      <w:pPr>
        <w:numPr>
          <w:ilvl w:val="0"/>
          <w:numId w:val="7"/>
        </w:numPr>
        <w:spacing w:line="480" w:lineRule="auto"/>
        <w:ind w:left="1276" w:hanging="283"/>
        <w:contextualSpacing/>
        <w:jc w:val="both"/>
      </w:pPr>
      <w:r w:rsidRPr="008C5435">
        <w:t>Analisis (</w:t>
      </w:r>
      <w:r w:rsidRPr="008C5435">
        <w:rPr>
          <w:i/>
        </w:rPr>
        <w:t>analysis</w:t>
      </w:r>
      <w:r w:rsidRPr="008C5435">
        <w:t>)</w:t>
      </w:r>
    </w:p>
    <w:p w:rsidR="00781597" w:rsidRPr="008C5435" w:rsidRDefault="00781597" w:rsidP="00781597">
      <w:pPr>
        <w:spacing w:line="480" w:lineRule="auto"/>
        <w:ind w:left="1276" w:firstLine="709"/>
        <w:contextualSpacing/>
        <w:jc w:val="both"/>
      </w:pPr>
      <w:r w:rsidRPr="008C5435">
        <w:t xml:space="preserve">Analisis ialah suatu komponen untuk menguraikan materi atau suatu objek ke dalam komponen-komponen, tetapi memiliki kaitan satu sama lain. Kemampuan analisis ini dapat dilihat dari penggunaan </w:t>
      </w:r>
      <w:r w:rsidRPr="008C5435">
        <w:lastRenderedPageBreak/>
        <w:t>kata kerja seperti dapat menggambarkan, membedakan, memisahkan dan mengelompokan.</w:t>
      </w:r>
    </w:p>
    <w:p w:rsidR="00781597" w:rsidRPr="008C5435" w:rsidRDefault="00781597" w:rsidP="00781597">
      <w:pPr>
        <w:numPr>
          <w:ilvl w:val="0"/>
          <w:numId w:val="7"/>
        </w:numPr>
        <w:spacing w:line="480" w:lineRule="auto"/>
        <w:ind w:left="1276" w:hanging="283"/>
        <w:contextualSpacing/>
        <w:jc w:val="both"/>
      </w:pPr>
      <w:r w:rsidRPr="008C5435">
        <w:t>Sintesis (</w:t>
      </w:r>
      <w:r w:rsidRPr="008C5435">
        <w:rPr>
          <w:i/>
        </w:rPr>
        <w:t>syintesis</w:t>
      </w:r>
      <w:r w:rsidRPr="008C5435">
        <w:t>)</w:t>
      </w:r>
    </w:p>
    <w:p w:rsidR="00781597" w:rsidRPr="008C5435" w:rsidRDefault="00781597" w:rsidP="00781597">
      <w:pPr>
        <w:spacing w:line="480" w:lineRule="auto"/>
        <w:ind w:left="1276" w:firstLine="709"/>
        <w:contextualSpacing/>
        <w:jc w:val="both"/>
      </w:pPr>
      <w:r w:rsidRPr="008C5435">
        <w:t>Sintesis menunjukan kepada suatu kemampuan untuk meletakan dan menghubungkan bagian-bagian didalam suatu bentuk keseluruhan yang baru.</w:t>
      </w:r>
    </w:p>
    <w:p w:rsidR="00781597" w:rsidRPr="008C5435" w:rsidRDefault="00781597" w:rsidP="00781597">
      <w:pPr>
        <w:numPr>
          <w:ilvl w:val="0"/>
          <w:numId w:val="7"/>
        </w:numPr>
        <w:spacing w:line="480" w:lineRule="auto"/>
        <w:ind w:left="1276" w:hanging="283"/>
        <w:contextualSpacing/>
        <w:jc w:val="both"/>
      </w:pPr>
      <w:r w:rsidRPr="008C5435">
        <w:t>Evaluasi (</w:t>
      </w:r>
      <w:r w:rsidRPr="008C5435">
        <w:rPr>
          <w:i/>
        </w:rPr>
        <w:t>evaluation</w:t>
      </w:r>
      <w:r w:rsidRPr="008C5435">
        <w:t>)</w:t>
      </w:r>
    </w:p>
    <w:p w:rsidR="00781597" w:rsidRDefault="00781597" w:rsidP="00781597">
      <w:pPr>
        <w:spacing w:after="0" w:line="480" w:lineRule="auto"/>
        <w:ind w:left="1276" w:firstLine="851"/>
        <w:contextualSpacing/>
        <w:jc w:val="both"/>
      </w:pPr>
      <w:r w:rsidRPr="008C5435">
        <w:t>Hal ini berkaitan dengan kemampuan untuk melakukan justifikasi atau penilaian te</w:t>
      </w:r>
      <w:r>
        <w:t>rhadap suatu materi atau objek.</w:t>
      </w:r>
    </w:p>
    <w:p w:rsidR="00781597" w:rsidRPr="00841960" w:rsidRDefault="00781597" w:rsidP="00781597">
      <w:pPr>
        <w:pStyle w:val="Heading3"/>
        <w:rPr>
          <w:rFonts w:eastAsia="SimSun"/>
          <w:lang w:val="en-ID"/>
        </w:rPr>
      </w:pPr>
      <w:bookmarkStart w:id="26" w:name="_Toc107576294"/>
      <w:r>
        <w:t>Pengukuran dalam Pengetahuan</w:t>
      </w:r>
      <w:bookmarkEnd w:id="26"/>
    </w:p>
    <w:p w:rsidR="00781597" w:rsidRPr="008C5435" w:rsidRDefault="00781597" w:rsidP="00781597">
      <w:pPr>
        <w:spacing w:line="480" w:lineRule="auto"/>
        <w:ind w:left="851" w:firstLine="709"/>
        <w:contextualSpacing/>
        <w:jc w:val="both"/>
      </w:pPr>
      <w:r w:rsidRPr="008C5435">
        <w:t>Pengukuran didalam pengetahuan dapat dilakukan dengan melalui wawancara maupun kuesioner. Pengetahuan ialah dasar terbentuknya suatu perilaku. Seseorang dikatakan kurang pengetahuan apabila didalam suatu kondisi responden tidak mampu mengenal, menjelaskan dan menganalisis suatu keadaan. Pengetahuan yang ingin diketahui maupun diukur dapat disesuaikan dengan skala yang bersifat kualitatif. (Arikunto, 2010). Pengetahuan seseorang dapat diketahui dan diinterpretasikan melalui skala yang bersifat kualitatif, yakni :</w:t>
      </w:r>
    </w:p>
    <w:p w:rsidR="00781597" w:rsidRPr="008C5435" w:rsidRDefault="00781597" w:rsidP="00781597">
      <w:pPr>
        <w:numPr>
          <w:ilvl w:val="0"/>
          <w:numId w:val="8"/>
        </w:numPr>
        <w:spacing w:line="480" w:lineRule="auto"/>
        <w:ind w:left="1276" w:hanging="425"/>
        <w:contextualSpacing/>
        <w:jc w:val="both"/>
      </w:pPr>
      <w:r w:rsidRPr="008C5435">
        <w:t>Baik : hasil presentasi 76% - 100 %</w:t>
      </w:r>
    </w:p>
    <w:p w:rsidR="00781597" w:rsidRPr="008C5435" w:rsidRDefault="00781597" w:rsidP="00781597">
      <w:pPr>
        <w:numPr>
          <w:ilvl w:val="0"/>
          <w:numId w:val="8"/>
        </w:numPr>
        <w:spacing w:line="480" w:lineRule="auto"/>
        <w:ind w:left="1276" w:hanging="426"/>
        <w:contextualSpacing/>
        <w:jc w:val="both"/>
      </w:pPr>
      <w:r w:rsidRPr="008C5435">
        <w:t>Cukup : hasil presentasi 56% - 75%</w:t>
      </w:r>
    </w:p>
    <w:p w:rsidR="00781597" w:rsidRPr="008C5435" w:rsidRDefault="00781597" w:rsidP="00781597">
      <w:pPr>
        <w:numPr>
          <w:ilvl w:val="0"/>
          <w:numId w:val="8"/>
        </w:numPr>
        <w:spacing w:line="480" w:lineRule="auto"/>
        <w:ind w:left="1276" w:hanging="425"/>
        <w:contextualSpacing/>
        <w:jc w:val="both"/>
      </w:pPr>
      <w:r w:rsidRPr="008C5435">
        <w:t>Kurang : Hasil presentasi  &lt; 56%</w:t>
      </w:r>
    </w:p>
    <w:p w:rsidR="00781597" w:rsidRDefault="00781597" w:rsidP="00781597">
      <w:pPr>
        <w:spacing w:line="480" w:lineRule="auto"/>
        <w:ind w:left="851" w:firstLine="708"/>
        <w:contextualSpacing/>
        <w:jc w:val="both"/>
      </w:pPr>
      <w:r w:rsidRPr="008C5435">
        <w:t>Mengetahui pengetahuan dengan skala tersebut tentunya dapat menerapkan tindakan yang tepat untuk meningkatkan derajat pengetahuan untuk meningkatkan kesehatan gigi dan mulut anak t</w:t>
      </w:r>
      <w:r>
        <w:t>unagrahita.</w:t>
      </w:r>
    </w:p>
    <w:p w:rsidR="00781597" w:rsidRPr="00841960" w:rsidRDefault="00781597" w:rsidP="00781597">
      <w:pPr>
        <w:pStyle w:val="Heading2"/>
        <w:rPr>
          <w:lang w:val="en-ID"/>
        </w:rPr>
      </w:pPr>
      <w:bookmarkStart w:id="27" w:name="_Toc107576295"/>
      <w:r>
        <w:lastRenderedPageBreak/>
        <w:t>Praktek / Tindakan</w:t>
      </w:r>
      <w:bookmarkEnd w:id="27"/>
    </w:p>
    <w:p w:rsidR="00781597" w:rsidRDefault="00781597" w:rsidP="00781597">
      <w:pPr>
        <w:spacing w:after="0" w:line="480" w:lineRule="auto"/>
        <w:ind w:left="284" w:firstLine="567"/>
        <w:jc w:val="both"/>
      </w:pPr>
      <w:r w:rsidRPr="008C5435">
        <w:t>Praktik (</w:t>
      </w:r>
      <w:r w:rsidRPr="008C5435">
        <w:rPr>
          <w:i/>
        </w:rPr>
        <w:t>practice</w:t>
      </w:r>
      <w:r w:rsidRPr="008C5435">
        <w:t>) maupun tindakan ialah adanya respon maupun reaksi konkret seseorang terhadap stimulus atau objek. Respon dalam hal ini sudah dalam bentuk tindakan (</w:t>
      </w:r>
      <w:r w:rsidRPr="008C5435">
        <w:rPr>
          <w:i/>
        </w:rPr>
        <w:t>action</w:t>
      </w:r>
      <w:r w:rsidRPr="008C5435">
        <w:t xml:space="preserve">) yang melibatkan aspek psikomotor atau seseorang telah melakukan praktek apa yang diketahui maupun disikapi dari tindakan maupun perilaku kesehatan terjadi setelah seseorang mengetahui stimulus kesehatan, kemudian dapat diadakan penilaian terhadap apa yang diketahui dan memberikan respon batin dalam bentuk sikap. </w:t>
      </w:r>
      <w:r w:rsidRPr="008C5435">
        <w:fldChar w:fldCharType="begin" w:fldLock="1"/>
      </w:r>
      <w:r w:rsidRPr="008C5435">
        <w:instrText>ADDIN CSL_CITATION {"citationItems":[{"id":"ITEM-1","itemData":{"author":[{"dropping-particle":"","family":"Notoadmojo","given":"Sukidjo","non-dropping-particle":"","parse-names":false,"suffix":""}],"id":"ITEM-1","issued":{"date-parts":[["2018"]]},"publisher-place":"Jakarta","title":"Metodologi Penelitian Kesehatan","type":"book"},"uris":["http://www.mendeley.com/documents/?uuid=9fd62baf-316e-45c3-880f-3df5df70d2b4"]}],"mendeley":{"formattedCitation":"(Sukidjo Notoadmojo, 2018)","plainTextFormattedCitation":"(Sukidjo Notoadmojo, 2018)","previouslyFormattedCitation":"(Sukidjo Notoadmojo, 2018)"},"properties":{"noteIndex":0},"schema":"https://github.com/citation-style-language/schema/raw/master/csl-citation.json"}</w:instrText>
      </w:r>
      <w:r w:rsidRPr="008C5435">
        <w:fldChar w:fldCharType="separate"/>
      </w:r>
      <w:r w:rsidRPr="008C5435">
        <w:rPr>
          <w:noProof/>
        </w:rPr>
        <w:t>(Sukidjo Notoadmojo, 2018)</w:t>
      </w:r>
      <w:r w:rsidRPr="008C5435">
        <w:fldChar w:fldCharType="end"/>
      </w:r>
      <w:r w:rsidRPr="008C5435">
        <w:t xml:space="preserve">. Proses selanjutnya diharapkan subjek dapat melaksanakan apa yang diketahui atau disikapinya melalui pendekatan metode </w:t>
      </w:r>
      <w:r w:rsidRPr="008C5435">
        <w:rPr>
          <w:i/>
        </w:rPr>
        <w:t>Tell Show Do</w:t>
      </w:r>
      <w:r w:rsidRPr="008C5435">
        <w:t xml:space="preserve"> (TSD) pada anak tunagrahita.</w:t>
      </w:r>
    </w:p>
    <w:p w:rsidR="00781597" w:rsidRPr="00841960" w:rsidRDefault="00781597" w:rsidP="00781597">
      <w:pPr>
        <w:pStyle w:val="Heading2"/>
        <w:rPr>
          <w:lang w:val="en-ID"/>
        </w:rPr>
      </w:pPr>
      <w:bookmarkStart w:id="28" w:name="_Toc107576296"/>
      <w:r>
        <w:t xml:space="preserve">Metode </w:t>
      </w:r>
      <w:r w:rsidRPr="00841960">
        <w:rPr>
          <w:i/>
        </w:rPr>
        <w:t>Tell Show Do</w:t>
      </w:r>
      <w:r>
        <w:t xml:space="preserve"> (TSD)</w:t>
      </w:r>
      <w:bookmarkEnd w:id="28"/>
    </w:p>
    <w:p w:rsidR="00781597" w:rsidRPr="008C5435" w:rsidRDefault="00781597" w:rsidP="00781597">
      <w:pPr>
        <w:spacing w:after="0" w:line="480" w:lineRule="auto"/>
        <w:ind w:left="284" w:firstLine="567"/>
        <w:jc w:val="both"/>
      </w:pPr>
      <w:r w:rsidRPr="008C5435">
        <w:t xml:space="preserve">Penelitian ini peneliti ingin memberikan pendekatan metode </w:t>
      </w:r>
      <w:r w:rsidRPr="008C5435">
        <w:rPr>
          <w:i/>
        </w:rPr>
        <w:t>Tell Show Do</w:t>
      </w:r>
      <w:r w:rsidRPr="008C5435">
        <w:t xml:space="preserve"> (TSD) dalam memberikan promosi kesehatan yang diharapkan akan berhasil dalam mencapai tujuan. Pengertian metode </w:t>
      </w:r>
      <w:r w:rsidRPr="008C5435">
        <w:rPr>
          <w:i/>
        </w:rPr>
        <w:t>Tell Show Do</w:t>
      </w:r>
      <w:r w:rsidRPr="008C5435">
        <w:t xml:space="preserve"> (TSD) pada penelitian Khayati, yulia Nur dkk. 2016 di dalam (Singh, 2014) (Farhat,2009) Tell Show do merupakan suatu metode yang dapat digunakan untuk manjemen perilaku di kedokteran gigi anak. Teknik ini dilakukan dengan cara menceritakan, memperkenalkan dan memperlihatkan prosedur perawatan gigi pada anak. Kegiatan ini ditunjukan agar anak mengerti dan tidak takut terhadap perawatan yang akan diberikan kepadanya. </w:t>
      </w:r>
      <w:r w:rsidRPr="008C5435">
        <w:fldChar w:fldCharType="begin" w:fldLock="1"/>
      </w:r>
      <w:r w:rsidRPr="008C5435">
        <w:instrText>ADDIN CSL_CITATION {"citationItems":[{"id":"ITEM-1","itemData":{"author":[{"dropping-particle":"","family":"Khayati","given":"Yulia Nur","non-dropping-particle":"","parse-names":false,"suffix":""},{"dropping-particle":"","family":"Windayanti","given":"Hapsari","non-dropping-particle":"","parse-names":false,"suffix":""},{"dropping-particle":"","family":"Dewi","given":"Maya Kurnia","non-dropping-particle":"","parse-names":false,"suffix":""},{"dropping-particle":"","family":"Andaeni","given":"Wahyu Retno","non-dropping-particle":"","parse-names":false,"suffix":""},{"dropping-particle":"","family":"Setiyana","given":"Alif","non-dropping-particle":"","parse-names":false,"suffix":""},{"dropping-particle":"","family":"Ananda","given":"Ameliana Friskia","non-dropping-particle":"","parse-names":false,"suffix":""},{"dropping-particle":"","family":"Ayu","given":"Rahmadini","non-dropping-particle":"","parse-names":false,"suffix":""},{"dropping-particle":"","family":"Hawa","given":"Christania R.L","non-dropping-particle":"","parse-names":false,"suffix":""}],"container-title":"Indonesian Journal of Community Empowerment (IJCE)","id":"ITEM-1","issued":{"date-parts":[["2016"]]},"page":"104-108","title":"Edukasi Gosok Gigi yang Baik dan Benar Untuk Anak Balita","type":"article-journal"},"uris":["http://www.mendeley.com/documents/?uuid=f9227903-0d15-495c-8348-cda7015999cb"]}],"mendeley":{"formattedCitation":"(Khayati et al., 2016)","plainTextFormattedCitation":"(Khayati et al., 2016)","previouslyFormattedCitation":"(Khayati et al., 2016)"},"properties":{"noteIndex":0},"schema":"https://github.com/citation-style-language/schema/raw/master/csl-citation.json"}</w:instrText>
      </w:r>
      <w:r w:rsidRPr="008C5435">
        <w:fldChar w:fldCharType="separate"/>
      </w:r>
      <w:r w:rsidRPr="008C5435">
        <w:rPr>
          <w:noProof/>
        </w:rPr>
        <w:t>(Khayati et al., 2016)</w:t>
      </w:r>
      <w:r w:rsidRPr="008C5435">
        <w:fldChar w:fldCharType="end"/>
      </w:r>
      <w:r w:rsidRPr="008C5435">
        <w:t xml:space="preserve">. </w:t>
      </w:r>
      <w:r w:rsidRPr="008C5435">
        <w:rPr>
          <w:i/>
        </w:rPr>
        <w:t>Tell Show Do</w:t>
      </w:r>
      <w:r w:rsidRPr="008C5435">
        <w:t xml:space="preserve"> diawali dengan </w:t>
      </w:r>
      <w:r w:rsidRPr="008C5435">
        <w:rPr>
          <w:i/>
        </w:rPr>
        <w:t>Tell</w:t>
      </w:r>
      <w:r w:rsidRPr="008C5435">
        <w:t xml:space="preserve"> ialah penggambaran singkat mengenai perawatan yang akan diberikan, </w:t>
      </w:r>
      <w:r w:rsidRPr="008C5435">
        <w:rPr>
          <w:i/>
        </w:rPr>
        <w:t>Show</w:t>
      </w:r>
      <w:r w:rsidRPr="008C5435">
        <w:t xml:space="preserve"> ialah mendemonstrasikan perawatan, dan </w:t>
      </w:r>
      <w:r w:rsidRPr="008C5435">
        <w:rPr>
          <w:i/>
        </w:rPr>
        <w:t>Do</w:t>
      </w:r>
      <w:r w:rsidRPr="008C5435">
        <w:t xml:space="preserve"> yaitu melaksanakan perawatan. </w:t>
      </w:r>
      <w:r w:rsidRPr="008C5435">
        <w:fldChar w:fldCharType="begin" w:fldLock="1"/>
      </w:r>
      <w:r w:rsidRPr="008C5435">
        <w:instrText>ADDIN CSL_CITATION {"citationItems":[{"id":"ITEM-1","itemData":{"author":[{"dropping-particle":"","family":"Nopiyanti","given":"FIirda Anita","non-dropping-particle":"","parse-names":false,"suffix":""}],"id":"ITEM-1","issued":{"date-parts":[["2021"]]},"publisher":"Poltekes Tanjungkarang","title":"No Title","type":"thesis"},"uris":["http://www.mendeley.com/documents/?uuid=9e6ac3d1-23c6-4a6c-817f-7274d1a51b5e"]}],"mendeley":{"formattedCitation":"(Nopiyanti, 2021)","plainTextFormattedCitation":"(Nopiyanti, 2021)","previouslyFormattedCitation":"(Nopiyanti, 2021)"},"properties":{"noteIndex":0},"schema":"https://github.com/citation-style-language/schema/raw/master/csl-citation.json"}</w:instrText>
      </w:r>
      <w:r w:rsidRPr="008C5435">
        <w:fldChar w:fldCharType="separate"/>
      </w:r>
      <w:r w:rsidRPr="008C5435">
        <w:rPr>
          <w:noProof/>
        </w:rPr>
        <w:t>(Nopiyanti, 2021)</w:t>
      </w:r>
      <w:r w:rsidRPr="008C5435">
        <w:fldChar w:fldCharType="end"/>
      </w:r>
      <w:r w:rsidRPr="008C5435">
        <w:t>.</w:t>
      </w:r>
    </w:p>
    <w:p w:rsidR="00781597" w:rsidRDefault="00781597" w:rsidP="00781597">
      <w:pPr>
        <w:spacing w:after="0" w:line="480" w:lineRule="auto"/>
        <w:ind w:left="284" w:firstLine="567"/>
        <w:jc w:val="both"/>
      </w:pPr>
      <w:r w:rsidRPr="008C5435">
        <w:rPr>
          <w:i/>
        </w:rPr>
        <w:lastRenderedPageBreak/>
        <w:t>Tell</w:t>
      </w:r>
      <w:r w:rsidRPr="008C5435">
        <w:t xml:space="preserve"> untuk materi edukasi pada materi eduksi ini yaitu memberi tahu bagaimana menggosok gigi yang baik dan benar, contoh kegiatan instruktur memberikan penjelasan cara menggosok gigi yang baik dan benar kepada responden. </w:t>
      </w:r>
      <w:r w:rsidRPr="008C5435">
        <w:rPr>
          <w:i/>
        </w:rPr>
        <w:t>Show</w:t>
      </w:r>
      <w:r w:rsidRPr="008C5435">
        <w:t xml:space="preserve"> untuk materi edukasi pada materi edukasi ini yaitu dengan mempertunjukan, memberikan contoh cara menggosok gigi yang baik dan benar, contoh kegiatan instruktur menjelaskan diiringi dengan peragaan cara menggosok gigi yang baik dan benar menggunakan pantum gigi. </w:t>
      </w:r>
      <w:r w:rsidRPr="008C5435">
        <w:rPr>
          <w:i/>
        </w:rPr>
        <w:t>Do</w:t>
      </w:r>
      <w:r w:rsidRPr="008C5435">
        <w:t xml:space="preserve"> untuk materi edukasi pada materi edukasi ini yaitu melakukan, responden secara langsung mempraktekan terhadap dirinya cara menggosok gigi dengan baik dan benar sesuai dengan pengetahuan yang sebelumnya diberi contoh dengan di damping instruktur agar pelaksanaan maksimal. Pada penelitian ini berfokus pada tunagrahita, dengan pemberian metode </w:t>
      </w:r>
      <w:r w:rsidRPr="008C5435">
        <w:rPr>
          <w:i/>
        </w:rPr>
        <w:t>Tell Show Do</w:t>
      </w:r>
      <w:r w:rsidRPr="008C5435">
        <w:t xml:space="preserve"> (TSD), dengan tujuan mempengaruhi proses pendidikan, sehingga sasaran dapat menerima pesan yang disampaikan.</w:t>
      </w:r>
    </w:p>
    <w:p w:rsidR="00781597" w:rsidRPr="00841960" w:rsidRDefault="00781597" w:rsidP="00781597">
      <w:pPr>
        <w:pStyle w:val="Heading2"/>
      </w:pPr>
      <w:bookmarkStart w:id="29" w:name="_Toc107576297"/>
      <w:r w:rsidRPr="00841960">
        <w:t>Kerangka Teori</w:t>
      </w:r>
      <w:bookmarkEnd w:id="29"/>
    </w:p>
    <w:p w:rsidR="00781597" w:rsidRPr="008C5435" w:rsidRDefault="00781597" w:rsidP="00781597">
      <w:pPr>
        <w:spacing w:line="480" w:lineRule="auto"/>
        <w:ind w:left="284" w:firstLine="426"/>
        <w:jc w:val="both"/>
      </w:pPr>
      <w:r w:rsidRPr="008C5435">
        <w:rPr>
          <w:color w:val="000000" w:themeColor="text1"/>
        </w:rPr>
        <w:t xml:space="preserve">Penyakit gigi dan mulut, salah satunya penyakit karies gigi yang paling sering diderita anak tidak terkecuali anak tunagrahita. </w:t>
      </w:r>
      <w:r w:rsidRPr="008C5435">
        <w:t xml:space="preserve">Untuk mengetahui masalah karies pada anak tunagrahita dibutuhkan pemeriksaan indeks kebersihan gigi dan mulut dengan pemeriksaan OHI-S. Untuk menurunkan nilai OHI-S diperlukan pengetahuan menggosok gigi dengan baik dan benar agar memperbaiki kebiasaan perilaku dalam menggosok gigi. Sasaran pada penelitian ini adalah anak tunagrahita, karena anak tunagrahita mengalami keterbatasan dalam mental dan intelektualnya sehingga berdampak pada perilakunya dalam menmelihara kesehatan gigi dan mulutnya. Untuk itu diperlukan Pendidikan </w:t>
      </w:r>
      <w:r w:rsidRPr="008C5435">
        <w:lastRenderedPageBreak/>
        <w:t xml:space="preserve">kesehatan gigi dan mulut untuk mempengaruhi sikap dan perilaku anak tunagrahita agar terhindar dari penyakit gigi dan mulut. Dibutuhkan pendekatan metode </w:t>
      </w:r>
      <w:r w:rsidRPr="008C5435">
        <w:rPr>
          <w:i/>
        </w:rPr>
        <w:t>Tell Show Do</w:t>
      </w:r>
      <w:r w:rsidRPr="008C5435">
        <w:t xml:space="preserve"> (TSD) dalam memberikan gambaran menggosok gigi agar upaya preventive dalam ilmu penyakit gigi dan mulut dapat terlaksana secara efektif dan optimal. Berikut adalah skema Kerangka Teori :</w:t>
      </w:r>
    </w:p>
    <w:p w:rsidR="00781597" w:rsidRPr="008C5435" w:rsidRDefault="00781597" w:rsidP="00781597">
      <w:pPr>
        <w:keepNext/>
        <w:tabs>
          <w:tab w:val="left" w:pos="1418"/>
          <w:tab w:val="left" w:pos="1843"/>
        </w:tabs>
        <w:spacing w:after="0" w:line="480" w:lineRule="auto"/>
        <w:jc w:val="both"/>
      </w:pPr>
      <w:r w:rsidRPr="008C5435">
        <w:rPr>
          <w:noProof/>
          <w:lang w:val="en-US"/>
        </w:rPr>
        <w:drawing>
          <wp:inline distT="0" distB="0" distL="0" distR="0" wp14:anchorId="1107D4AC" wp14:editId="74768A52">
            <wp:extent cx="4913630" cy="3220085"/>
            <wp:effectExtent l="19050" t="0" r="1270" b="0"/>
            <wp:docPr id="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81597" w:rsidRDefault="00781597" w:rsidP="00781597">
      <w:pPr>
        <w:keepNext/>
        <w:spacing w:after="200" w:line="240" w:lineRule="auto"/>
        <w:jc w:val="center"/>
        <w:rPr>
          <w:b/>
          <w:iCs/>
          <w:sz w:val="22"/>
          <w:szCs w:val="18"/>
        </w:rPr>
      </w:pPr>
      <w:bookmarkStart w:id="30" w:name="_Toc92791635"/>
      <w:r w:rsidRPr="008C5435">
        <w:rPr>
          <w:b/>
          <w:iCs/>
          <w:sz w:val="22"/>
          <w:szCs w:val="18"/>
        </w:rPr>
        <w:t>Gambar 2. 4 Kerangka Teori</w:t>
      </w:r>
      <w:bookmarkEnd w:id="30"/>
      <w:r>
        <w:rPr>
          <w:b/>
          <w:iCs/>
          <w:sz w:val="22"/>
          <w:szCs w:val="18"/>
        </w:rPr>
        <w:t xml:space="preserve"> </w:t>
      </w:r>
    </w:p>
    <w:p w:rsidR="00781597" w:rsidRDefault="00781597" w:rsidP="00781597">
      <w:pPr>
        <w:rPr>
          <w:b/>
          <w:iCs/>
          <w:sz w:val="22"/>
          <w:szCs w:val="18"/>
        </w:rPr>
        <w:sectPr w:rsidR="00781597" w:rsidSect="0053683A">
          <w:pgSz w:w="11906" w:h="16838" w:code="9"/>
          <w:pgMar w:top="1701" w:right="1701" w:bottom="1701" w:left="2268" w:header="709" w:footer="709" w:gutter="0"/>
          <w:cols w:space="708"/>
          <w:titlePg/>
          <w:docGrid w:linePitch="360"/>
        </w:sectPr>
      </w:pPr>
    </w:p>
    <w:p w:rsidR="009A1C5B" w:rsidRDefault="009A1C5B">
      <w:bookmarkStart w:id="31" w:name="_GoBack"/>
      <w:bookmarkEnd w:id="31"/>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E2455"/>
    <w:multiLevelType w:val="hybridMultilevel"/>
    <w:tmpl w:val="F46EE634"/>
    <w:lvl w:ilvl="0" w:tplc="1646E7B6">
      <w:start w:val="1"/>
      <w:numFmt w:val="upperLetter"/>
      <w:pStyle w:val="Heading2"/>
      <w:lvlText w:val="%1."/>
      <w:lvlJc w:val="left"/>
      <w:pPr>
        <w:ind w:left="502" w:hanging="360"/>
      </w:pPr>
      <w:rPr>
        <w:rFonts w:hint="default"/>
      </w:r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14DEC556">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
    <w:nsid w:val="09A65309"/>
    <w:multiLevelType w:val="hybridMultilevel"/>
    <w:tmpl w:val="8002705A"/>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
    <w:nsid w:val="2DC3457A"/>
    <w:multiLevelType w:val="hybridMultilevel"/>
    <w:tmpl w:val="9A622C24"/>
    <w:lvl w:ilvl="0" w:tplc="38090011">
      <w:start w:val="1"/>
      <w:numFmt w:val="decimal"/>
      <w:lvlText w:val="%1)"/>
      <w:lvlJc w:val="left"/>
      <w:pPr>
        <w:ind w:left="1855" w:hanging="360"/>
      </w:pPr>
    </w:lvl>
    <w:lvl w:ilvl="1" w:tplc="38090019" w:tentative="1">
      <w:start w:val="1"/>
      <w:numFmt w:val="lowerLetter"/>
      <w:lvlText w:val="%2."/>
      <w:lvlJc w:val="left"/>
      <w:pPr>
        <w:ind w:left="2575" w:hanging="360"/>
      </w:pPr>
    </w:lvl>
    <w:lvl w:ilvl="2" w:tplc="3809001B" w:tentative="1">
      <w:start w:val="1"/>
      <w:numFmt w:val="lowerRoman"/>
      <w:lvlText w:val="%3."/>
      <w:lvlJc w:val="right"/>
      <w:pPr>
        <w:ind w:left="3295" w:hanging="180"/>
      </w:pPr>
    </w:lvl>
    <w:lvl w:ilvl="3" w:tplc="3809000F" w:tentative="1">
      <w:start w:val="1"/>
      <w:numFmt w:val="decimal"/>
      <w:lvlText w:val="%4."/>
      <w:lvlJc w:val="left"/>
      <w:pPr>
        <w:ind w:left="4015" w:hanging="360"/>
      </w:pPr>
    </w:lvl>
    <w:lvl w:ilvl="4" w:tplc="38090019" w:tentative="1">
      <w:start w:val="1"/>
      <w:numFmt w:val="lowerLetter"/>
      <w:lvlText w:val="%5."/>
      <w:lvlJc w:val="left"/>
      <w:pPr>
        <w:ind w:left="4735" w:hanging="360"/>
      </w:pPr>
    </w:lvl>
    <w:lvl w:ilvl="5" w:tplc="3809001B" w:tentative="1">
      <w:start w:val="1"/>
      <w:numFmt w:val="lowerRoman"/>
      <w:lvlText w:val="%6."/>
      <w:lvlJc w:val="right"/>
      <w:pPr>
        <w:ind w:left="5455" w:hanging="180"/>
      </w:pPr>
    </w:lvl>
    <w:lvl w:ilvl="6" w:tplc="3809000F" w:tentative="1">
      <w:start w:val="1"/>
      <w:numFmt w:val="decimal"/>
      <w:lvlText w:val="%7."/>
      <w:lvlJc w:val="left"/>
      <w:pPr>
        <w:ind w:left="6175" w:hanging="360"/>
      </w:pPr>
    </w:lvl>
    <w:lvl w:ilvl="7" w:tplc="38090019" w:tentative="1">
      <w:start w:val="1"/>
      <w:numFmt w:val="lowerLetter"/>
      <w:lvlText w:val="%8."/>
      <w:lvlJc w:val="left"/>
      <w:pPr>
        <w:ind w:left="6895" w:hanging="360"/>
      </w:pPr>
    </w:lvl>
    <w:lvl w:ilvl="8" w:tplc="3809001B" w:tentative="1">
      <w:start w:val="1"/>
      <w:numFmt w:val="lowerRoman"/>
      <w:lvlText w:val="%9."/>
      <w:lvlJc w:val="right"/>
      <w:pPr>
        <w:ind w:left="7615" w:hanging="180"/>
      </w:pPr>
    </w:lvl>
  </w:abstractNum>
  <w:abstractNum w:abstractNumId="3">
    <w:nsid w:val="2E407A9A"/>
    <w:multiLevelType w:val="hybridMultilevel"/>
    <w:tmpl w:val="1D5462A2"/>
    <w:lvl w:ilvl="0" w:tplc="0421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nsid w:val="2F6F5FAB"/>
    <w:multiLevelType w:val="hybridMultilevel"/>
    <w:tmpl w:val="F704F786"/>
    <w:lvl w:ilvl="0" w:tplc="3DC4D436">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1F25DAC"/>
    <w:multiLevelType w:val="hybridMultilevel"/>
    <w:tmpl w:val="16643896"/>
    <w:lvl w:ilvl="0" w:tplc="3809000F">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6">
    <w:nsid w:val="35571909"/>
    <w:multiLevelType w:val="hybridMultilevel"/>
    <w:tmpl w:val="89FC14EE"/>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7">
    <w:nsid w:val="38C811B0"/>
    <w:multiLevelType w:val="hybridMultilevel"/>
    <w:tmpl w:val="F920E7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4B5D74F7"/>
    <w:multiLevelType w:val="hybridMultilevel"/>
    <w:tmpl w:val="38768966"/>
    <w:lvl w:ilvl="0" w:tplc="3809000F">
      <w:start w:val="1"/>
      <w:numFmt w:val="decimal"/>
      <w:lvlText w:val="%1."/>
      <w:lvlJc w:val="left"/>
      <w:pPr>
        <w:ind w:left="2062" w:hanging="360"/>
      </w:pPr>
    </w:lvl>
    <w:lvl w:ilvl="1" w:tplc="38090019" w:tentative="1">
      <w:start w:val="1"/>
      <w:numFmt w:val="lowerLetter"/>
      <w:lvlText w:val="%2."/>
      <w:lvlJc w:val="left"/>
      <w:pPr>
        <w:ind w:left="2782" w:hanging="360"/>
      </w:pPr>
    </w:lvl>
    <w:lvl w:ilvl="2" w:tplc="3809001B" w:tentative="1">
      <w:start w:val="1"/>
      <w:numFmt w:val="lowerRoman"/>
      <w:lvlText w:val="%3."/>
      <w:lvlJc w:val="right"/>
      <w:pPr>
        <w:ind w:left="3502" w:hanging="180"/>
      </w:pPr>
    </w:lvl>
    <w:lvl w:ilvl="3" w:tplc="3809000F" w:tentative="1">
      <w:start w:val="1"/>
      <w:numFmt w:val="decimal"/>
      <w:lvlText w:val="%4."/>
      <w:lvlJc w:val="left"/>
      <w:pPr>
        <w:ind w:left="4222" w:hanging="360"/>
      </w:pPr>
    </w:lvl>
    <w:lvl w:ilvl="4" w:tplc="38090019" w:tentative="1">
      <w:start w:val="1"/>
      <w:numFmt w:val="lowerLetter"/>
      <w:lvlText w:val="%5."/>
      <w:lvlJc w:val="left"/>
      <w:pPr>
        <w:ind w:left="4942" w:hanging="360"/>
      </w:pPr>
    </w:lvl>
    <w:lvl w:ilvl="5" w:tplc="3809001B" w:tentative="1">
      <w:start w:val="1"/>
      <w:numFmt w:val="lowerRoman"/>
      <w:lvlText w:val="%6."/>
      <w:lvlJc w:val="right"/>
      <w:pPr>
        <w:ind w:left="5662" w:hanging="180"/>
      </w:pPr>
    </w:lvl>
    <w:lvl w:ilvl="6" w:tplc="3809000F" w:tentative="1">
      <w:start w:val="1"/>
      <w:numFmt w:val="decimal"/>
      <w:lvlText w:val="%7."/>
      <w:lvlJc w:val="left"/>
      <w:pPr>
        <w:ind w:left="6382" w:hanging="360"/>
      </w:pPr>
    </w:lvl>
    <w:lvl w:ilvl="7" w:tplc="38090019" w:tentative="1">
      <w:start w:val="1"/>
      <w:numFmt w:val="lowerLetter"/>
      <w:lvlText w:val="%8."/>
      <w:lvlJc w:val="left"/>
      <w:pPr>
        <w:ind w:left="7102" w:hanging="360"/>
      </w:pPr>
    </w:lvl>
    <w:lvl w:ilvl="8" w:tplc="3809001B" w:tentative="1">
      <w:start w:val="1"/>
      <w:numFmt w:val="lowerRoman"/>
      <w:lvlText w:val="%9."/>
      <w:lvlJc w:val="right"/>
      <w:pPr>
        <w:ind w:left="7822" w:hanging="180"/>
      </w:pPr>
    </w:lvl>
  </w:abstractNum>
  <w:abstractNum w:abstractNumId="9">
    <w:nsid w:val="4D905AF0"/>
    <w:multiLevelType w:val="hybridMultilevel"/>
    <w:tmpl w:val="451A525C"/>
    <w:lvl w:ilvl="0" w:tplc="0F126D5C">
      <w:start w:val="1"/>
      <w:numFmt w:val="decimal"/>
      <w:pStyle w:val="Heading3"/>
      <w:lvlText w:val="%1."/>
      <w:lvlJc w:val="left"/>
      <w:pPr>
        <w:ind w:left="786" w:hanging="360"/>
      </w:pPr>
      <w:rPr>
        <w:rFonts w:hint="default"/>
        <w:b/>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0"/>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B4"/>
    <w:rsid w:val="000B0CB4"/>
    <w:rsid w:val="00781597"/>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27479-3D8A-4E93-B538-944DD456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597"/>
    <w:rPr>
      <w:rFonts w:ascii="Times New Roman" w:eastAsia="SimSun" w:hAnsi="Times New Roman" w:cs="Times New Roman"/>
      <w:sz w:val="24"/>
      <w:szCs w:val="24"/>
      <w:lang w:val="en-ID"/>
    </w:rPr>
  </w:style>
  <w:style w:type="paragraph" w:styleId="Heading1">
    <w:name w:val="heading 1"/>
    <w:basedOn w:val="Normal"/>
    <w:next w:val="Normal"/>
    <w:link w:val="Heading1Char"/>
    <w:uiPriority w:val="9"/>
    <w:qFormat/>
    <w:rsid w:val="007815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781597"/>
    <w:pPr>
      <w:numPr>
        <w:numId w:val="9"/>
      </w:numPr>
      <w:spacing w:after="0" w:line="480" w:lineRule="auto"/>
      <w:ind w:left="284"/>
      <w:outlineLvl w:val="1"/>
    </w:pPr>
    <w:rPr>
      <w:b/>
      <w:lang w:val="id-ID"/>
    </w:rPr>
  </w:style>
  <w:style w:type="paragraph" w:styleId="Heading3">
    <w:name w:val="heading 3"/>
    <w:basedOn w:val="Normal"/>
    <w:next w:val="Normal"/>
    <w:link w:val="Heading3Char"/>
    <w:autoRedefine/>
    <w:uiPriority w:val="9"/>
    <w:unhideWhenUsed/>
    <w:qFormat/>
    <w:rsid w:val="00781597"/>
    <w:pPr>
      <w:keepNext/>
      <w:keepLines/>
      <w:numPr>
        <w:numId w:val="10"/>
      </w:numPr>
      <w:spacing w:after="0" w:line="480" w:lineRule="auto"/>
      <w:ind w:left="851" w:hanging="425"/>
      <w:outlineLvl w:val="2"/>
    </w:pPr>
    <w:rPr>
      <w:rFonts w:eastAsiaTheme="majorEastAsia"/>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597"/>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781597"/>
    <w:rPr>
      <w:rFonts w:ascii="Times New Roman" w:eastAsia="SimSun" w:hAnsi="Times New Roman" w:cs="Times New Roman"/>
      <w:b/>
      <w:sz w:val="24"/>
      <w:szCs w:val="24"/>
      <w:lang w:val="id-ID"/>
    </w:rPr>
  </w:style>
  <w:style w:type="character" w:customStyle="1" w:styleId="Heading3Char">
    <w:name w:val="Heading 3 Char"/>
    <w:basedOn w:val="DefaultParagraphFont"/>
    <w:link w:val="Heading3"/>
    <w:uiPriority w:val="9"/>
    <w:qFormat/>
    <w:rsid w:val="00781597"/>
    <w:rPr>
      <w:rFonts w:ascii="Times New Roman" w:eastAsiaTheme="majorEastAsia" w:hAnsi="Times New Roman" w:cs="Times New Roman"/>
      <w:b/>
      <w:sz w:val="24"/>
      <w:szCs w:val="24"/>
    </w:rPr>
  </w:style>
  <w:style w:type="paragraph" w:styleId="Caption">
    <w:name w:val="caption"/>
    <w:basedOn w:val="Normal"/>
    <w:next w:val="Normal"/>
    <w:uiPriority w:val="35"/>
    <w:unhideWhenUsed/>
    <w:qFormat/>
    <w:rsid w:val="00781597"/>
    <w:pPr>
      <w:spacing w:after="200" w:line="240" w:lineRule="auto"/>
    </w:pPr>
    <w:rPr>
      <w:i/>
      <w:iCs/>
      <w:color w:val="44546A" w:themeColor="text2"/>
      <w:sz w:val="18"/>
      <w:szCs w:val="18"/>
    </w:rPr>
  </w:style>
  <w:style w:type="character" w:styleId="Hyperlink">
    <w:name w:val="Hyperlink"/>
    <w:basedOn w:val="DefaultParagraphFont"/>
    <w:uiPriority w:val="99"/>
    <w:unhideWhenUsed/>
    <w:rsid w:val="007815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hyperlink" Target="https://parentalk.id/tanda-karies-gigi-anak-dan-pencegahannya/" TargetMode="External"/><Relationship Id="rId11" Type="http://schemas.openxmlformats.org/officeDocument/2006/relationships/image" Target="media/image3.jpeg"/><Relationship Id="rId5" Type="http://schemas.openxmlformats.org/officeDocument/2006/relationships/hyperlink" Target="https://parentalk.id/tanda-karies-gigi-anak-dan-pencegahannya/" TargetMode="External"/><Relationship Id="rId15" Type="http://schemas.openxmlformats.org/officeDocument/2006/relationships/diagramColors" Target="diagrams/colors1.xml"/><Relationship Id="rId10" Type="http://schemas.openxmlformats.org/officeDocument/2006/relationships/hyperlink" Target="https://egadioniputri.wordpress.com/2011/11/25/belajar-menyikat-gigi-lagi-dengan-benar/" TargetMode="External"/><Relationship Id="rId4" Type="http://schemas.openxmlformats.org/officeDocument/2006/relationships/webSettings" Target="webSettings.xml"/><Relationship Id="rId9" Type="http://schemas.openxmlformats.org/officeDocument/2006/relationships/hyperlink" Target="https://egadioniputri.wordpress.com/2011/11/25/belajar-menyikat-gigi-lagi-dengan-benar/"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4F2B41-7BCA-4CAB-921E-6AB3D2B3A42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D"/>
        </a:p>
      </dgm:t>
    </dgm:pt>
    <dgm:pt modelId="{8C0312EC-3FCA-4998-B499-FC1D3A6E3022}">
      <dgm:prSet phldrT="[Text]" custT="1">
        <dgm:style>
          <a:lnRef idx="2">
            <a:schemeClr val="dk1"/>
          </a:lnRef>
          <a:fillRef idx="1">
            <a:schemeClr val="lt1"/>
          </a:fillRef>
          <a:effectRef idx="0">
            <a:schemeClr val="dk1"/>
          </a:effectRef>
          <a:fontRef idx="minor">
            <a:schemeClr val="dk1"/>
          </a:fontRef>
        </dgm:style>
      </dgm:prSet>
      <dgm:spPr>
        <a:xfrm>
          <a:off x="1791777" y="138470"/>
          <a:ext cx="1330075" cy="665037"/>
        </a:xfrm>
        <a:solidFill>
          <a:sysClr val="window" lastClr="FFFFFF"/>
        </a:solidFill>
        <a:ln w="12700" cap="flat" cmpd="sng" algn="ctr">
          <a:solidFill>
            <a:sysClr val="windowText" lastClr="000000"/>
          </a:solidFill>
          <a:prstDash val="solid"/>
          <a:miter lim="800000"/>
        </a:ln>
        <a:effectLst/>
      </dgm:spPr>
      <dgm:t>
        <a:bodyPr/>
        <a:lstStyle/>
        <a:p>
          <a:r>
            <a:rPr lang="en-ID" sz="1100">
              <a:solidFill>
                <a:sysClr val="windowText" lastClr="000000"/>
              </a:solidFill>
              <a:latin typeface="Times New Roman" panose="02020603050405020304" pitchFamily="18" charset="0"/>
              <a:ea typeface="+mn-ea"/>
              <a:cs typeface="Times New Roman" panose="02020603050405020304" pitchFamily="18" charset="0"/>
            </a:rPr>
            <a:t>Penyakit Gigi dan Mulut</a:t>
          </a:r>
        </a:p>
      </dgm:t>
    </dgm:pt>
    <dgm:pt modelId="{F70261BB-19E1-401F-A6D6-8EF52C4EC01D}" type="parTrans" cxnId="{A07BB774-3BE9-421B-A885-753982990304}">
      <dgm:prSet/>
      <dgm:spPr/>
      <dgm:t>
        <a:bodyPr/>
        <a:lstStyle/>
        <a:p>
          <a:endParaRPr lang="en-ID"/>
        </a:p>
      </dgm:t>
    </dgm:pt>
    <dgm:pt modelId="{AFA6E540-C372-4D4F-9089-373B321B5A6B}" type="sibTrans" cxnId="{A07BB774-3BE9-421B-A885-753982990304}">
      <dgm:prSet/>
      <dgm:spPr/>
      <dgm:t>
        <a:bodyPr/>
        <a:lstStyle/>
        <a:p>
          <a:endParaRPr lang="en-ID"/>
        </a:p>
      </dgm:t>
    </dgm:pt>
    <dgm:pt modelId="{600D2B78-DB90-4997-868B-16AE347BD6F9}" type="asst">
      <dgm:prSet phldrT="[Text]" custT="1">
        <dgm:style>
          <a:lnRef idx="2">
            <a:schemeClr val="dk1"/>
          </a:lnRef>
          <a:fillRef idx="1">
            <a:schemeClr val="lt1"/>
          </a:fillRef>
          <a:effectRef idx="0">
            <a:schemeClr val="dk1"/>
          </a:effectRef>
          <a:fontRef idx="minor">
            <a:schemeClr val="dk1"/>
          </a:fontRef>
        </dgm:style>
      </dgm:prSet>
      <dgm:spPr>
        <a:xfrm>
          <a:off x="1805956" y="1052332"/>
          <a:ext cx="1330075" cy="665037"/>
        </a:xfrm>
        <a:solidFill>
          <a:sysClr val="window" lastClr="FFFFFF"/>
        </a:solidFill>
        <a:ln w="12700" cap="flat" cmpd="sng" algn="ctr">
          <a:solidFill>
            <a:sysClr val="windowText" lastClr="000000"/>
          </a:solidFill>
          <a:prstDash val="solid"/>
          <a:miter lim="800000"/>
        </a:ln>
        <a:effectLst/>
      </dgm:spPr>
      <dgm:t>
        <a:bodyPr/>
        <a:lstStyle/>
        <a:p>
          <a:r>
            <a:rPr lang="en-ID" sz="1100">
              <a:solidFill>
                <a:sysClr val="windowText" lastClr="000000"/>
              </a:solidFill>
              <a:latin typeface="Times New Roman" panose="02020603050405020304" pitchFamily="18" charset="0"/>
              <a:ea typeface="+mn-ea"/>
              <a:cs typeface="Times New Roman" panose="02020603050405020304" pitchFamily="18" charset="0"/>
            </a:rPr>
            <a:t>Tunagrahita :</a:t>
          </a:r>
        </a:p>
        <a:p>
          <a:r>
            <a:rPr lang="en-ID" sz="1100">
              <a:solidFill>
                <a:sysClr val="windowText" lastClr="000000"/>
              </a:solidFill>
              <a:latin typeface="Times New Roman" panose="02020603050405020304" pitchFamily="18" charset="0"/>
              <a:ea typeface="+mn-ea"/>
              <a:cs typeface="Times New Roman" panose="02020603050405020304" pitchFamily="18" charset="0"/>
            </a:rPr>
            <a:t>Keterbatasan metal dan Intelektual</a:t>
          </a:r>
        </a:p>
      </dgm:t>
    </dgm:pt>
    <dgm:pt modelId="{DA4290B1-C4A4-42AA-BB03-2E17FD5CB0D8}" type="parTrans" cxnId="{19E98C31-5F74-4F1A-BD56-8D8F9E371DFC}">
      <dgm:prSet/>
      <dgm:spPr>
        <a:xfrm>
          <a:off x="1805956" y="803508"/>
          <a:ext cx="650858" cy="581342"/>
        </a:xfrm>
        <a:noFill/>
        <a:ln w="12700" cap="flat" cmpd="sng" algn="ctr">
          <a:noFill/>
          <a:prstDash val="solid"/>
          <a:miter lim="800000"/>
        </a:ln>
        <a:effectLst/>
      </dgm:spPr>
      <dgm:t>
        <a:bodyPr/>
        <a:lstStyle/>
        <a:p>
          <a:endParaRPr lang="en-ID"/>
        </a:p>
      </dgm:t>
    </dgm:pt>
    <dgm:pt modelId="{75D9DF4C-B158-47FF-B4FB-9522B2667792}" type="sibTrans" cxnId="{19E98C31-5F74-4F1A-BD56-8D8F9E371DFC}">
      <dgm:prSet/>
      <dgm:spPr/>
      <dgm:t>
        <a:bodyPr/>
        <a:lstStyle/>
        <a:p>
          <a:endParaRPr lang="en-ID"/>
        </a:p>
      </dgm:t>
    </dgm:pt>
    <dgm:pt modelId="{F2BE64C4-A859-415C-949E-7DB69F4BCA0C}">
      <dgm:prSet phldrT="[Text]" custT="1">
        <dgm:style>
          <a:lnRef idx="2">
            <a:schemeClr val="dk1"/>
          </a:lnRef>
          <a:fillRef idx="1">
            <a:schemeClr val="lt1"/>
          </a:fillRef>
          <a:effectRef idx="0">
            <a:schemeClr val="dk1"/>
          </a:effectRef>
          <a:fontRef idx="minor">
            <a:schemeClr val="dk1"/>
          </a:fontRef>
        </dgm:style>
      </dgm:prSet>
      <dgm:spPr>
        <a:xfrm>
          <a:off x="27000" y="2027177"/>
          <a:ext cx="1445512" cy="1022654"/>
        </a:xfrm>
        <a:solidFill>
          <a:sysClr val="window" lastClr="FFFFFF"/>
        </a:solidFill>
        <a:ln w="12700" cap="flat" cmpd="sng" algn="ctr">
          <a:solidFill>
            <a:sysClr val="windowText" lastClr="000000"/>
          </a:solidFill>
          <a:prstDash val="solid"/>
          <a:miter lim="800000"/>
        </a:ln>
        <a:effectLst/>
      </dgm:spPr>
      <dgm:t>
        <a:bodyPr/>
        <a:lstStyle/>
        <a:p>
          <a:r>
            <a:rPr lang="en-ID" sz="1100">
              <a:solidFill>
                <a:sysClr val="windowText" lastClr="000000"/>
              </a:solidFill>
              <a:latin typeface="Times New Roman" panose="02020603050405020304" pitchFamily="18" charset="0"/>
              <a:ea typeface="+mn-ea"/>
              <a:cs typeface="Times New Roman" panose="02020603050405020304" pitchFamily="18" charset="0"/>
            </a:rPr>
            <a:t>Menggosok gigi :</a:t>
          </a:r>
        </a:p>
        <a:p>
          <a:r>
            <a:rPr lang="en-ID" sz="1100">
              <a:solidFill>
                <a:sysClr val="windowText" lastClr="000000"/>
              </a:solidFill>
              <a:latin typeface="Times New Roman" panose="02020603050405020304" pitchFamily="18" charset="0"/>
              <a:ea typeface="+mn-ea"/>
              <a:cs typeface="Times New Roman" panose="02020603050405020304" pitchFamily="18" charset="0"/>
            </a:rPr>
            <a:t>1.sikat gigi dan pasta gigi</a:t>
          </a:r>
        </a:p>
        <a:p>
          <a:r>
            <a:rPr lang="en-ID" sz="1100">
              <a:solidFill>
                <a:sysClr val="windowText" lastClr="000000"/>
              </a:solidFill>
              <a:latin typeface="Times New Roman" panose="02020603050405020304" pitchFamily="18" charset="0"/>
              <a:ea typeface="+mn-ea"/>
              <a:cs typeface="Times New Roman" panose="02020603050405020304" pitchFamily="18" charset="0"/>
            </a:rPr>
            <a:t>2.Teknik menggosok gigi</a:t>
          </a:r>
        </a:p>
      </dgm:t>
    </dgm:pt>
    <dgm:pt modelId="{8E63EB6F-B318-4CF7-A629-C88AFA8FE4D7}" type="parTrans" cxnId="{EF741144-DC5D-4DA4-BFD2-566FBB569406}">
      <dgm:prSet>
        <dgm:style>
          <a:lnRef idx="1">
            <a:schemeClr val="dk1"/>
          </a:lnRef>
          <a:fillRef idx="0">
            <a:schemeClr val="dk1"/>
          </a:fillRef>
          <a:effectRef idx="0">
            <a:schemeClr val="dk1"/>
          </a:effectRef>
          <a:fontRef idx="minor">
            <a:schemeClr val="tx1"/>
          </a:fontRef>
        </dgm:style>
      </dgm:prSet>
      <dgm:spPr>
        <a:xfrm>
          <a:off x="749756" y="803508"/>
          <a:ext cx="1707058" cy="1223669"/>
        </a:xfrm>
        <a:noFill/>
        <a:ln w="19050" cap="flat" cmpd="sng" algn="ctr">
          <a:solidFill>
            <a:sysClr val="windowText" lastClr="000000"/>
          </a:solidFill>
          <a:prstDash val="solid"/>
          <a:miter lim="800000"/>
        </a:ln>
        <a:effectLst/>
      </dgm:spPr>
      <dgm:t>
        <a:bodyPr/>
        <a:lstStyle/>
        <a:p>
          <a:endParaRPr lang="en-ID"/>
        </a:p>
      </dgm:t>
    </dgm:pt>
    <dgm:pt modelId="{05226017-D979-4D3B-B7D6-69735733A941}" type="sibTrans" cxnId="{EF741144-DC5D-4DA4-BFD2-566FBB569406}">
      <dgm:prSet/>
      <dgm:spPr/>
      <dgm:t>
        <a:bodyPr/>
        <a:lstStyle/>
        <a:p>
          <a:endParaRPr lang="en-ID"/>
        </a:p>
      </dgm:t>
    </dgm:pt>
    <dgm:pt modelId="{394B4FE7-1DB6-4D22-AB28-15EC812BEC89}">
      <dgm:prSet phldrT="[Text]" custT="1">
        <dgm:style>
          <a:lnRef idx="2">
            <a:schemeClr val="dk1"/>
          </a:lnRef>
          <a:fillRef idx="1">
            <a:schemeClr val="lt1"/>
          </a:fillRef>
          <a:effectRef idx="0">
            <a:schemeClr val="dk1"/>
          </a:effectRef>
          <a:fontRef idx="minor">
            <a:schemeClr val="dk1"/>
          </a:fontRef>
        </dgm:style>
      </dgm:prSet>
      <dgm:spPr>
        <a:xfrm>
          <a:off x="1741547" y="2053366"/>
          <a:ext cx="1424111" cy="1027343"/>
        </a:xfrm>
        <a:solidFill>
          <a:sysClr val="window" lastClr="FFFFFF"/>
        </a:solidFill>
        <a:ln w="12700" cap="flat" cmpd="sng" algn="ctr">
          <a:solidFill>
            <a:sysClr val="windowText" lastClr="000000"/>
          </a:solidFill>
          <a:prstDash val="solid"/>
          <a:miter lim="800000"/>
        </a:ln>
        <a:effectLst/>
      </dgm:spPr>
      <dgm:t>
        <a:bodyPr/>
        <a:lstStyle/>
        <a:p>
          <a:r>
            <a:rPr lang="en-ID" sz="1100">
              <a:solidFill>
                <a:sysClr val="windowText" lastClr="000000"/>
              </a:solidFill>
              <a:latin typeface="Times New Roman" panose="02020603050405020304" pitchFamily="18" charset="0"/>
              <a:ea typeface="+mn-ea"/>
              <a:cs typeface="Times New Roman" panose="02020603050405020304" pitchFamily="18" charset="0"/>
            </a:rPr>
            <a:t>Perubahan nilai OHI-S</a:t>
          </a:r>
        </a:p>
      </dgm:t>
    </dgm:pt>
    <dgm:pt modelId="{4904F40A-27B5-4D23-89DF-B23BD24B1FBC}" type="parTrans" cxnId="{1A006955-A764-4EB4-8206-ABEA3DB254A7}">
      <dgm:prSet/>
      <dgm:spPr>
        <a:xfrm>
          <a:off x="2407882" y="803508"/>
          <a:ext cx="91440" cy="1249858"/>
        </a:xfrm>
        <a:noFill/>
        <a:ln w="19050" cap="flat" cmpd="sng" algn="ctr">
          <a:solidFill>
            <a:scrgbClr r="0" g="0" b="0"/>
          </a:solidFill>
          <a:prstDash val="solid"/>
          <a:miter lim="800000"/>
        </a:ln>
        <a:effectLst/>
      </dgm:spPr>
      <dgm:t>
        <a:bodyPr/>
        <a:lstStyle/>
        <a:p>
          <a:endParaRPr lang="en-ID"/>
        </a:p>
      </dgm:t>
    </dgm:pt>
    <dgm:pt modelId="{61AFB59C-6116-458B-AEDF-1E02798B3E7C}" type="sibTrans" cxnId="{1A006955-A764-4EB4-8206-ABEA3DB254A7}">
      <dgm:prSet/>
      <dgm:spPr/>
      <dgm:t>
        <a:bodyPr/>
        <a:lstStyle/>
        <a:p>
          <a:endParaRPr lang="en-ID"/>
        </a:p>
      </dgm:t>
    </dgm:pt>
    <dgm:pt modelId="{5B080DCE-6E1A-4482-AC76-61013E4B274E}">
      <dgm:prSet phldrT="[Text]" custT="1">
        <dgm:style>
          <a:lnRef idx="2">
            <a:schemeClr val="dk1"/>
          </a:lnRef>
          <a:fillRef idx="1">
            <a:schemeClr val="lt1"/>
          </a:fillRef>
          <a:effectRef idx="0">
            <a:schemeClr val="dk1"/>
          </a:effectRef>
          <a:fontRef idx="minor">
            <a:schemeClr val="dk1"/>
          </a:fontRef>
        </dgm:style>
      </dgm:prSet>
      <dgm:spPr>
        <a:xfrm>
          <a:off x="3376967" y="2003734"/>
          <a:ext cx="1483086" cy="1054436"/>
        </a:xfrm>
        <a:solidFill>
          <a:sysClr val="window" lastClr="FFFFFF"/>
        </a:solidFill>
        <a:ln w="12700" cap="flat" cmpd="sng" algn="ctr">
          <a:solidFill>
            <a:sysClr val="windowText" lastClr="000000"/>
          </a:solidFill>
          <a:prstDash val="solid"/>
          <a:miter lim="800000"/>
        </a:ln>
        <a:effectLst/>
      </dgm:spPr>
      <dgm:t>
        <a:bodyPr/>
        <a:lstStyle/>
        <a:p>
          <a:r>
            <a:rPr lang="en-ID" sz="1100">
              <a:solidFill>
                <a:sysClr val="windowText" lastClr="000000"/>
              </a:solidFill>
              <a:latin typeface="Times New Roman" panose="02020603050405020304" pitchFamily="18" charset="0"/>
              <a:ea typeface="+mn-ea"/>
              <a:cs typeface="Times New Roman" panose="02020603050405020304" pitchFamily="18" charset="0"/>
            </a:rPr>
            <a:t>Metode </a:t>
          </a:r>
          <a:r>
            <a:rPr lang="en-ID" sz="1100" i="1">
              <a:solidFill>
                <a:sysClr val="windowText" lastClr="000000"/>
              </a:solidFill>
              <a:latin typeface="Times New Roman" panose="02020603050405020304" pitchFamily="18" charset="0"/>
              <a:ea typeface="+mn-ea"/>
              <a:cs typeface="Times New Roman" panose="02020603050405020304" pitchFamily="18" charset="0"/>
            </a:rPr>
            <a:t>Tell Show Do</a:t>
          </a:r>
        </a:p>
        <a:p>
          <a:r>
            <a:rPr lang="en-ID" sz="1100">
              <a:solidFill>
                <a:sysClr val="windowText" lastClr="000000"/>
              </a:solidFill>
              <a:latin typeface="Times New Roman" panose="02020603050405020304" pitchFamily="18" charset="0"/>
              <a:ea typeface="+mn-ea"/>
              <a:cs typeface="Times New Roman" panose="02020603050405020304" pitchFamily="18" charset="0"/>
            </a:rPr>
            <a:t>1.Edukasi</a:t>
          </a:r>
        </a:p>
        <a:p>
          <a:r>
            <a:rPr lang="en-ID" sz="1100">
              <a:solidFill>
                <a:sysClr val="windowText" lastClr="000000"/>
              </a:solidFill>
              <a:latin typeface="Times New Roman" panose="02020603050405020304" pitchFamily="18" charset="0"/>
              <a:ea typeface="+mn-ea"/>
              <a:cs typeface="Times New Roman" panose="02020603050405020304" pitchFamily="18" charset="0"/>
            </a:rPr>
            <a:t>2. Simulasi</a:t>
          </a:r>
        </a:p>
        <a:p>
          <a:r>
            <a:rPr lang="en-ID" sz="1100">
              <a:solidFill>
                <a:sysClr val="windowText" lastClr="000000"/>
              </a:solidFill>
              <a:latin typeface="Times New Roman" panose="02020603050405020304" pitchFamily="18" charset="0"/>
              <a:ea typeface="+mn-ea"/>
              <a:cs typeface="Times New Roman" panose="02020603050405020304" pitchFamily="18" charset="0"/>
            </a:rPr>
            <a:t>3. Demonstrasi</a:t>
          </a:r>
        </a:p>
      </dgm:t>
    </dgm:pt>
    <dgm:pt modelId="{1CD73F3E-53DC-49AF-AF7B-66257EDEBE35}" type="parTrans" cxnId="{0B5A7AA2-CD42-4685-AFD7-C51479B35081}">
      <dgm:prSet>
        <dgm:style>
          <a:lnRef idx="1">
            <a:schemeClr val="dk1"/>
          </a:lnRef>
          <a:fillRef idx="0">
            <a:schemeClr val="dk1"/>
          </a:fillRef>
          <a:effectRef idx="0">
            <a:schemeClr val="dk1"/>
          </a:effectRef>
          <a:fontRef idx="minor">
            <a:schemeClr val="tx1"/>
          </a:fontRef>
        </dgm:style>
      </dgm:prSet>
      <dgm:spPr>
        <a:xfrm>
          <a:off x="2456815" y="803508"/>
          <a:ext cx="1661695" cy="1200226"/>
        </a:xfrm>
        <a:noFill/>
        <a:ln w="19050" cap="flat" cmpd="sng" algn="ctr">
          <a:solidFill>
            <a:sysClr val="windowText" lastClr="000000"/>
          </a:solidFill>
          <a:prstDash val="solid"/>
          <a:miter lim="800000"/>
        </a:ln>
        <a:effectLst/>
      </dgm:spPr>
      <dgm:t>
        <a:bodyPr/>
        <a:lstStyle/>
        <a:p>
          <a:endParaRPr lang="en-ID"/>
        </a:p>
      </dgm:t>
    </dgm:pt>
    <dgm:pt modelId="{A8978696-C274-4035-8EB4-81FF88899AEA}" type="sibTrans" cxnId="{0B5A7AA2-CD42-4685-AFD7-C51479B35081}">
      <dgm:prSet/>
      <dgm:spPr/>
      <dgm:t>
        <a:bodyPr/>
        <a:lstStyle/>
        <a:p>
          <a:endParaRPr lang="en-ID"/>
        </a:p>
      </dgm:t>
    </dgm:pt>
    <dgm:pt modelId="{C8E8A94F-2F57-4A73-92C4-286BAC396CB1}" type="pres">
      <dgm:prSet presAssocID="{2D4F2B41-7BCA-4CAB-921E-6AB3D2B3A42A}" presName="hierChild1" presStyleCnt="0">
        <dgm:presLayoutVars>
          <dgm:orgChart val="1"/>
          <dgm:chPref val="1"/>
          <dgm:dir/>
          <dgm:animOne val="branch"/>
          <dgm:animLvl val="lvl"/>
          <dgm:resizeHandles/>
        </dgm:presLayoutVars>
      </dgm:prSet>
      <dgm:spPr/>
      <dgm:t>
        <a:bodyPr/>
        <a:lstStyle/>
        <a:p>
          <a:endParaRPr lang="id-ID"/>
        </a:p>
      </dgm:t>
    </dgm:pt>
    <dgm:pt modelId="{01AB794F-3871-4AAF-9E03-D2A90A0DDCFB}" type="pres">
      <dgm:prSet presAssocID="{8C0312EC-3FCA-4998-B499-FC1D3A6E3022}" presName="hierRoot1" presStyleCnt="0">
        <dgm:presLayoutVars>
          <dgm:hierBranch val="init"/>
        </dgm:presLayoutVars>
      </dgm:prSet>
      <dgm:spPr/>
    </dgm:pt>
    <dgm:pt modelId="{CBA28127-7301-4ABB-AAD1-8CCF3B20A6C4}" type="pres">
      <dgm:prSet presAssocID="{8C0312EC-3FCA-4998-B499-FC1D3A6E3022}" presName="rootComposite1" presStyleCnt="0"/>
      <dgm:spPr/>
    </dgm:pt>
    <dgm:pt modelId="{96F5FE78-9CF5-4281-9409-0CB40B5C36AC}" type="pres">
      <dgm:prSet presAssocID="{8C0312EC-3FCA-4998-B499-FC1D3A6E3022}" presName="rootText1" presStyleLbl="node0" presStyleIdx="0" presStyleCnt="1">
        <dgm:presLayoutVars>
          <dgm:chPref val="3"/>
        </dgm:presLayoutVars>
      </dgm:prSet>
      <dgm:spPr>
        <a:prstGeom prst="rect">
          <a:avLst/>
        </a:prstGeom>
      </dgm:spPr>
      <dgm:t>
        <a:bodyPr/>
        <a:lstStyle/>
        <a:p>
          <a:endParaRPr lang="id-ID"/>
        </a:p>
      </dgm:t>
    </dgm:pt>
    <dgm:pt modelId="{26826601-D8F6-4ECD-B54D-4891C088D2FC}" type="pres">
      <dgm:prSet presAssocID="{8C0312EC-3FCA-4998-B499-FC1D3A6E3022}" presName="rootConnector1" presStyleLbl="node1" presStyleIdx="0" presStyleCnt="0"/>
      <dgm:spPr/>
      <dgm:t>
        <a:bodyPr/>
        <a:lstStyle/>
        <a:p>
          <a:endParaRPr lang="id-ID"/>
        </a:p>
      </dgm:t>
    </dgm:pt>
    <dgm:pt modelId="{83C8DB21-80F5-4FC3-8F9A-4BC7209C626C}" type="pres">
      <dgm:prSet presAssocID="{8C0312EC-3FCA-4998-B499-FC1D3A6E3022}" presName="hierChild2" presStyleCnt="0"/>
      <dgm:spPr/>
    </dgm:pt>
    <dgm:pt modelId="{E5C9E40B-E4DA-4CAB-8BDF-7768ED1C0D89}" type="pres">
      <dgm:prSet presAssocID="{8E63EB6F-B318-4CF7-A629-C88AFA8FE4D7}" presName="Name37" presStyleLbl="parChTrans1D2" presStyleIdx="0" presStyleCnt="4"/>
      <dgm:spPr>
        <a:custGeom>
          <a:avLst/>
          <a:gdLst/>
          <a:ahLst/>
          <a:cxnLst/>
          <a:rect l="0" t="0" r="0" b="0"/>
          <a:pathLst>
            <a:path>
              <a:moveTo>
                <a:pt x="1707058" y="0"/>
              </a:moveTo>
              <a:lnTo>
                <a:pt x="1707058" y="1084011"/>
              </a:lnTo>
              <a:lnTo>
                <a:pt x="0" y="1084011"/>
              </a:lnTo>
              <a:lnTo>
                <a:pt x="0" y="1223669"/>
              </a:lnTo>
            </a:path>
          </a:pathLst>
        </a:custGeom>
      </dgm:spPr>
      <dgm:t>
        <a:bodyPr/>
        <a:lstStyle/>
        <a:p>
          <a:endParaRPr lang="id-ID"/>
        </a:p>
      </dgm:t>
    </dgm:pt>
    <dgm:pt modelId="{A614F7E1-0803-4E91-9C19-2065A347C998}" type="pres">
      <dgm:prSet presAssocID="{F2BE64C4-A859-415C-949E-7DB69F4BCA0C}" presName="hierRoot2" presStyleCnt="0">
        <dgm:presLayoutVars>
          <dgm:hierBranch val="init"/>
        </dgm:presLayoutVars>
      </dgm:prSet>
      <dgm:spPr/>
    </dgm:pt>
    <dgm:pt modelId="{B48EACA0-023E-472A-A797-8913A758F9D2}" type="pres">
      <dgm:prSet presAssocID="{F2BE64C4-A859-415C-949E-7DB69F4BCA0C}" presName="rootComposite" presStyleCnt="0"/>
      <dgm:spPr/>
    </dgm:pt>
    <dgm:pt modelId="{4E973F88-0994-4329-BF66-AA14AC89F3E2}" type="pres">
      <dgm:prSet presAssocID="{F2BE64C4-A859-415C-949E-7DB69F4BCA0C}" presName="rootText" presStyleLbl="node2" presStyleIdx="0" presStyleCnt="3" custScaleX="108679" custScaleY="153774" custLinFactNeighborX="1944">
        <dgm:presLayoutVars>
          <dgm:chPref val="3"/>
        </dgm:presLayoutVars>
      </dgm:prSet>
      <dgm:spPr>
        <a:prstGeom prst="rect">
          <a:avLst/>
        </a:prstGeom>
      </dgm:spPr>
      <dgm:t>
        <a:bodyPr/>
        <a:lstStyle/>
        <a:p>
          <a:endParaRPr lang="id-ID"/>
        </a:p>
      </dgm:t>
    </dgm:pt>
    <dgm:pt modelId="{DFF9C37E-F4F3-4AEB-AACB-DC5FE80E5018}" type="pres">
      <dgm:prSet presAssocID="{F2BE64C4-A859-415C-949E-7DB69F4BCA0C}" presName="rootConnector" presStyleLbl="node2" presStyleIdx="0" presStyleCnt="3"/>
      <dgm:spPr/>
      <dgm:t>
        <a:bodyPr/>
        <a:lstStyle/>
        <a:p>
          <a:endParaRPr lang="id-ID"/>
        </a:p>
      </dgm:t>
    </dgm:pt>
    <dgm:pt modelId="{1F4D91E7-C8D1-479F-8ECC-D936A66E694C}" type="pres">
      <dgm:prSet presAssocID="{F2BE64C4-A859-415C-949E-7DB69F4BCA0C}" presName="hierChild4" presStyleCnt="0"/>
      <dgm:spPr/>
    </dgm:pt>
    <dgm:pt modelId="{8196D06C-E658-4E89-9F5C-5862ACDECB67}" type="pres">
      <dgm:prSet presAssocID="{F2BE64C4-A859-415C-949E-7DB69F4BCA0C}" presName="hierChild5" presStyleCnt="0"/>
      <dgm:spPr/>
    </dgm:pt>
    <dgm:pt modelId="{24FDFF97-178F-44E4-BCC1-71F4E755073D}" type="pres">
      <dgm:prSet presAssocID="{4904F40A-27B5-4D23-89DF-B23BD24B1FBC}" presName="Name37" presStyleLbl="parChTrans1D2" presStyleIdx="1" presStyleCnt="4"/>
      <dgm:spPr>
        <a:custGeom>
          <a:avLst/>
          <a:gdLst/>
          <a:ahLst/>
          <a:cxnLst/>
          <a:rect l="0" t="0" r="0" b="0"/>
          <a:pathLst>
            <a:path>
              <a:moveTo>
                <a:pt x="48932" y="0"/>
              </a:moveTo>
              <a:lnTo>
                <a:pt x="48932" y="1110200"/>
              </a:lnTo>
              <a:lnTo>
                <a:pt x="45720" y="1110200"/>
              </a:lnTo>
              <a:lnTo>
                <a:pt x="45720" y="1249858"/>
              </a:lnTo>
            </a:path>
          </a:pathLst>
        </a:custGeom>
      </dgm:spPr>
      <dgm:t>
        <a:bodyPr/>
        <a:lstStyle/>
        <a:p>
          <a:endParaRPr lang="id-ID"/>
        </a:p>
      </dgm:t>
    </dgm:pt>
    <dgm:pt modelId="{5A94304C-9D02-479C-92CC-D21CE6DC91EB}" type="pres">
      <dgm:prSet presAssocID="{394B4FE7-1DB6-4D22-AB28-15EC812BEC89}" presName="hierRoot2" presStyleCnt="0">
        <dgm:presLayoutVars>
          <dgm:hierBranch val="init"/>
        </dgm:presLayoutVars>
      </dgm:prSet>
      <dgm:spPr/>
    </dgm:pt>
    <dgm:pt modelId="{CBA23608-FA67-4931-8281-60C40D162DB7}" type="pres">
      <dgm:prSet presAssocID="{394B4FE7-1DB6-4D22-AB28-15EC812BEC89}" presName="rootComposite" presStyleCnt="0"/>
      <dgm:spPr/>
    </dgm:pt>
    <dgm:pt modelId="{D52012F8-8613-44F5-BA2E-4E5B17F080E8}" type="pres">
      <dgm:prSet presAssocID="{394B4FE7-1DB6-4D22-AB28-15EC812BEC89}" presName="rootText" presStyleLbl="node2" presStyleIdx="1" presStyleCnt="3" custScaleX="107070" custScaleY="154479" custLinFactNeighborX="1171" custLinFactNeighborY="3938">
        <dgm:presLayoutVars>
          <dgm:chPref val="3"/>
        </dgm:presLayoutVars>
      </dgm:prSet>
      <dgm:spPr>
        <a:prstGeom prst="rect">
          <a:avLst/>
        </a:prstGeom>
      </dgm:spPr>
      <dgm:t>
        <a:bodyPr/>
        <a:lstStyle/>
        <a:p>
          <a:endParaRPr lang="id-ID"/>
        </a:p>
      </dgm:t>
    </dgm:pt>
    <dgm:pt modelId="{BA38D66C-86FA-483E-8542-DC224561436D}" type="pres">
      <dgm:prSet presAssocID="{394B4FE7-1DB6-4D22-AB28-15EC812BEC89}" presName="rootConnector" presStyleLbl="node2" presStyleIdx="1" presStyleCnt="3"/>
      <dgm:spPr/>
      <dgm:t>
        <a:bodyPr/>
        <a:lstStyle/>
        <a:p>
          <a:endParaRPr lang="id-ID"/>
        </a:p>
      </dgm:t>
    </dgm:pt>
    <dgm:pt modelId="{F5BDBCA4-B66D-45EE-B6F8-01811D33BA5C}" type="pres">
      <dgm:prSet presAssocID="{394B4FE7-1DB6-4D22-AB28-15EC812BEC89}" presName="hierChild4" presStyleCnt="0"/>
      <dgm:spPr/>
    </dgm:pt>
    <dgm:pt modelId="{0E9AFBEE-D221-47AF-81BF-EF9767B85EC4}" type="pres">
      <dgm:prSet presAssocID="{394B4FE7-1DB6-4D22-AB28-15EC812BEC89}" presName="hierChild5" presStyleCnt="0"/>
      <dgm:spPr/>
    </dgm:pt>
    <dgm:pt modelId="{93A29FE4-BDDB-4AEA-80AE-C7725DF29DB5}" type="pres">
      <dgm:prSet presAssocID="{1CD73F3E-53DC-49AF-AF7B-66257EDEBE35}" presName="Name37" presStyleLbl="parChTrans1D2" presStyleIdx="2" presStyleCnt="4"/>
      <dgm:spPr>
        <a:custGeom>
          <a:avLst/>
          <a:gdLst/>
          <a:ahLst/>
          <a:cxnLst/>
          <a:rect l="0" t="0" r="0" b="0"/>
          <a:pathLst>
            <a:path>
              <a:moveTo>
                <a:pt x="0" y="0"/>
              </a:moveTo>
              <a:lnTo>
                <a:pt x="0" y="1060568"/>
              </a:lnTo>
              <a:lnTo>
                <a:pt x="1661695" y="1060568"/>
              </a:lnTo>
              <a:lnTo>
                <a:pt x="1661695" y="1200226"/>
              </a:lnTo>
            </a:path>
          </a:pathLst>
        </a:custGeom>
      </dgm:spPr>
      <dgm:t>
        <a:bodyPr/>
        <a:lstStyle/>
        <a:p>
          <a:endParaRPr lang="id-ID"/>
        </a:p>
      </dgm:t>
    </dgm:pt>
    <dgm:pt modelId="{338B4229-838A-42FA-80C2-FA7E106ED46B}" type="pres">
      <dgm:prSet presAssocID="{5B080DCE-6E1A-4482-AC76-61013E4B274E}" presName="hierRoot2" presStyleCnt="0">
        <dgm:presLayoutVars>
          <dgm:hierBranch val="init"/>
        </dgm:presLayoutVars>
      </dgm:prSet>
      <dgm:spPr/>
    </dgm:pt>
    <dgm:pt modelId="{FA34AADA-D70A-40C1-8012-1D5341C7056D}" type="pres">
      <dgm:prSet presAssocID="{5B080DCE-6E1A-4482-AC76-61013E4B274E}" presName="rootComposite" presStyleCnt="0"/>
      <dgm:spPr/>
    </dgm:pt>
    <dgm:pt modelId="{05E19A94-C7B2-4A55-AC04-BB48E5EFF711}" type="pres">
      <dgm:prSet presAssocID="{5B080DCE-6E1A-4482-AC76-61013E4B274E}" presName="rootText" presStyleLbl="node2" presStyleIdx="2" presStyleCnt="3" custScaleX="111504" custScaleY="158553" custLinFactNeighborX="-3942" custLinFactNeighborY="-3525">
        <dgm:presLayoutVars>
          <dgm:chPref val="3"/>
        </dgm:presLayoutVars>
      </dgm:prSet>
      <dgm:spPr>
        <a:prstGeom prst="rect">
          <a:avLst/>
        </a:prstGeom>
      </dgm:spPr>
      <dgm:t>
        <a:bodyPr/>
        <a:lstStyle/>
        <a:p>
          <a:endParaRPr lang="id-ID"/>
        </a:p>
      </dgm:t>
    </dgm:pt>
    <dgm:pt modelId="{8AADF492-8B37-446A-AF1B-1AA611BEF70D}" type="pres">
      <dgm:prSet presAssocID="{5B080DCE-6E1A-4482-AC76-61013E4B274E}" presName="rootConnector" presStyleLbl="node2" presStyleIdx="2" presStyleCnt="3"/>
      <dgm:spPr/>
      <dgm:t>
        <a:bodyPr/>
        <a:lstStyle/>
        <a:p>
          <a:endParaRPr lang="id-ID"/>
        </a:p>
      </dgm:t>
    </dgm:pt>
    <dgm:pt modelId="{405DF5D4-895F-47ED-BA0B-05706DD68224}" type="pres">
      <dgm:prSet presAssocID="{5B080DCE-6E1A-4482-AC76-61013E4B274E}" presName="hierChild4" presStyleCnt="0"/>
      <dgm:spPr/>
    </dgm:pt>
    <dgm:pt modelId="{4224EB07-3EE2-433B-8B44-76A2B5E555CD}" type="pres">
      <dgm:prSet presAssocID="{5B080DCE-6E1A-4482-AC76-61013E4B274E}" presName="hierChild5" presStyleCnt="0"/>
      <dgm:spPr/>
    </dgm:pt>
    <dgm:pt modelId="{CD07646D-AD7D-4811-8DE9-61C6B514BEA6}" type="pres">
      <dgm:prSet presAssocID="{8C0312EC-3FCA-4998-B499-FC1D3A6E3022}" presName="hierChild3" presStyleCnt="0"/>
      <dgm:spPr/>
    </dgm:pt>
    <dgm:pt modelId="{F4F172B2-41C9-4308-9693-679B2C9BB6F5}" type="pres">
      <dgm:prSet presAssocID="{DA4290B1-C4A4-42AA-BB03-2E17FD5CB0D8}" presName="Name111" presStyleLbl="parChTrans1D2" presStyleIdx="3" presStyleCnt="4"/>
      <dgm:spPr>
        <a:custGeom>
          <a:avLst/>
          <a:gdLst/>
          <a:ahLst/>
          <a:cxnLst/>
          <a:rect l="0" t="0" r="0" b="0"/>
          <a:pathLst>
            <a:path>
              <a:moveTo>
                <a:pt x="650858" y="0"/>
              </a:moveTo>
              <a:lnTo>
                <a:pt x="0" y="581342"/>
              </a:lnTo>
            </a:path>
          </a:pathLst>
        </a:custGeom>
      </dgm:spPr>
      <dgm:t>
        <a:bodyPr/>
        <a:lstStyle/>
        <a:p>
          <a:endParaRPr lang="id-ID"/>
        </a:p>
      </dgm:t>
    </dgm:pt>
    <dgm:pt modelId="{ED641E94-AA83-4DEB-A677-585F20752127}" type="pres">
      <dgm:prSet presAssocID="{600D2B78-DB90-4997-868B-16AE347BD6F9}" presName="hierRoot3" presStyleCnt="0">
        <dgm:presLayoutVars>
          <dgm:hierBranch val="init"/>
        </dgm:presLayoutVars>
      </dgm:prSet>
      <dgm:spPr/>
    </dgm:pt>
    <dgm:pt modelId="{71333CA0-40D8-479F-BD6A-6B02174DDA1C}" type="pres">
      <dgm:prSet presAssocID="{600D2B78-DB90-4997-868B-16AE347BD6F9}" presName="rootComposite3" presStyleCnt="0"/>
      <dgm:spPr/>
    </dgm:pt>
    <dgm:pt modelId="{766D428A-A529-4C36-9FF1-BEB311436D55}" type="pres">
      <dgm:prSet presAssocID="{600D2B78-DB90-4997-868B-16AE347BD6F9}" presName="rootText3" presStyleLbl="asst1" presStyleIdx="0" presStyleCnt="1" custLinFactNeighborX="61566" custLinFactNeighborY="-4585">
        <dgm:presLayoutVars>
          <dgm:chPref val="3"/>
        </dgm:presLayoutVars>
      </dgm:prSet>
      <dgm:spPr>
        <a:prstGeom prst="rect">
          <a:avLst/>
        </a:prstGeom>
      </dgm:spPr>
      <dgm:t>
        <a:bodyPr/>
        <a:lstStyle/>
        <a:p>
          <a:endParaRPr lang="id-ID"/>
        </a:p>
      </dgm:t>
    </dgm:pt>
    <dgm:pt modelId="{B01A8196-D65E-4173-9A65-6EA53E741E06}" type="pres">
      <dgm:prSet presAssocID="{600D2B78-DB90-4997-868B-16AE347BD6F9}" presName="rootConnector3" presStyleLbl="asst1" presStyleIdx="0" presStyleCnt="1"/>
      <dgm:spPr/>
      <dgm:t>
        <a:bodyPr/>
        <a:lstStyle/>
        <a:p>
          <a:endParaRPr lang="id-ID"/>
        </a:p>
      </dgm:t>
    </dgm:pt>
    <dgm:pt modelId="{DC32A2DC-2229-462E-A357-35BFE2702FF9}" type="pres">
      <dgm:prSet presAssocID="{600D2B78-DB90-4997-868B-16AE347BD6F9}" presName="hierChild6" presStyleCnt="0"/>
      <dgm:spPr/>
    </dgm:pt>
    <dgm:pt modelId="{BD160D11-C5E8-48F1-AA77-404EFC69ABCE}" type="pres">
      <dgm:prSet presAssocID="{600D2B78-DB90-4997-868B-16AE347BD6F9}" presName="hierChild7" presStyleCnt="0"/>
      <dgm:spPr/>
    </dgm:pt>
  </dgm:ptLst>
  <dgm:cxnLst>
    <dgm:cxn modelId="{1A006955-A764-4EB4-8206-ABEA3DB254A7}" srcId="{8C0312EC-3FCA-4998-B499-FC1D3A6E3022}" destId="{394B4FE7-1DB6-4D22-AB28-15EC812BEC89}" srcOrd="2" destOrd="0" parTransId="{4904F40A-27B5-4D23-89DF-B23BD24B1FBC}" sibTransId="{61AFB59C-6116-458B-AEDF-1E02798B3E7C}"/>
    <dgm:cxn modelId="{8CDD0942-676E-4C03-892A-2AADE367A9C4}" type="presOf" srcId="{5B080DCE-6E1A-4482-AC76-61013E4B274E}" destId="{8AADF492-8B37-446A-AF1B-1AA611BEF70D}" srcOrd="1" destOrd="0" presId="urn:microsoft.com/office/officeart/2005/8/layout/orgChart1"/>
    <dgm:cxn modelId="{C0C4B827-B099-46C4-9BFA-F3CD4BE805F9}" type="presOf" srcId="{5B080DCE-6E1A-4482-AC76-61013E4B274E}" destId="{05E19A94-C7B2-4A55-AC04-BB48E5EFF711}" srcOrd="0" destOrd="0" presId="urn:microsoft.com/office/officeart/2005/8/layout/orgChart1"/>
    <dgm:cxn modelId="{2F4FDEE0-A872-4C61-9D65-8C6AA95B4BF6}" type="presOf" srcId="{394B4FE7-1DB6-4D22-AB28-15EC812BEC89}" destId="{D52012F8-8613-44F5-BA2E-4E5B17F080E8}" srcOrd="0" destOrd="0" presId="urn:microsoft.com/office/officeart/2005/8/layout/orgChart1"/>
    <dgm:cxn modelId="{11860A36-82BE-416E-890A-6E5894F3D80D}" type="presOf" srcId="{8E63EB6F-B318-4CF7-A629-C88AFA8FE4D7}" destId="{E5C9E40B-E4DA-4CAB-8BDF-7768ED1C0D89}" srcOrd="0" destOrd="0" presId="urn:microsoft.com/office/officeart/2005/8/layout/orgChart1"/>
    <dgm:cxn modelId="{A07BB774-3BE9-421B-A885-753982990304}" srcId="{2D4F2B41-7BCA-4CAB-921E-6AB3D2B3A42A}" destId="{8C0312EC-3FCA-4998-B499-FC1D3A6E3022}" srcOrd="0" destOrd="0" parTransId="{F70261BB-19E1-401F-A6D6-8EF52C4EC01D}" sibTransId="{AFA6E540-C372-4D4F-9089-373B321B5A6B}"/>
    <dgm:cxn modelId="{EF741144-DC5D-4DA4-BFD2-566FBB569406}" srcId="{8C0312EC-3FCA-4998-B499-FC1D3A6E3022}" destId="{F2BE64C4-A859-415C-949E-7DB69F4BCA0C}" srcOrd="1" destOrd="0" parTransId="{8E63EB6F-B318-4CF7-A629-C88AFA8FE4D7}" sibTransId="{05226017-D979-4D3B-B7D6-69735733A941}"/>
    <dgm:cxn modelId="{D848D504-247C-408D-8A60-3168D70924E7}" type="presOf" srcId="{4904F40A-27B5-4D23-89DF-B23BD24B1FBC}" destId="{24FDFF97-178F-44E4-BCC1-71F4E755073D}" srcOrd="0" destOrd="0" presId="urn:microsoft.com/office/officeart/2005/8/layout/orgChart1"/>
    <dgm:cxn modelId="{82C61488-17D0-41F7-AE7A-1A798748AE72}" type="presOf" srcId="{DA4290B1-C4A4-42AA-BB03-2E17FD5CB0D8}" destId="{F4F172B2-41C9-4308-9693-679B2C9BB6F5}" srcOrd="0" destOrd="0" presId="urn:microsoft.com/office/officeart/2005/8/layout/orgChart1"/>
    <dgm:cxn modelId="{193A53B0-5E9E-4E04-8483-60B85C4F4639}" type="presOf" srcId="{8C0312EC-3FCA-4998-B499-FC1D3A6E3022}" destId="{26826601-D8F6-4ECD-B54D-4891C088D2FC}" srcOrd="1" destOrd="0" presId="urn:microsoft.com/office/officeart/2005/8/layout/orgChart1"/>
    <dgm:cxn modelId="{18DBEFD8-2D86-4905-BDE0-D0235F02BD40}" type="presOf" srcId="{8C0312EC-3FCA-4998-B499-FC1D3A6E3022}" destId="{96F5FE78-9CF5-4281-9409-0CB40B5C36AC}" srcOrd="0" destOrd="0" presId="urn:microsoft.com/office/officeart/2005/8/layout/orgChart1"/>
    <dgm:cxn modelId="{DDA97BB2-1D44-459E-AF75-BD3C45B20BE0}" type="presOf" srcId="{394B4FE7-1DB6-4D22-AB28-15EC812BEC89}" destId="{BA38D66C-86FA-483E-8542-DC224561436D}" srcOrd="1" destOrd="0" presId="urn:microsoft.com/office/officeart/2005/8/layout/orgChart1"/>
    <dgm:cxn modelId="{EF061E92-E3A4-45E6-8E6C-448EEE5163CA}" type="presOf" srcId="{F2BE64C4-A859-415C-949E-7DB69F4BCA0C}" destId="{4E973F88-0994-4329-BF66-AA14AC89F3E2}" srcOrd="0" destOrd="0" presId="urn:microsoft.com/office/officeart/2005/8/layout/orgChart1"/>
    <dgm:cxn modelId="{19E98C31-5F74-4F1A-BD56-8D8F9E371DFC}" srcId="{8C0312EC-3FCA-4998-B499-FC1D3A6E3022}" destId="{600D2B78-DB90-4997-868B-16AE347BD6F9}" srcOrd="0" destOrd="0" parTransId="{DA4290B1-C4A4-42AA-BB03-2E17FD5CB0D8}" sibTransId="{75D9DF4C-B158-47FF-B4FB-9522B2667792}"/>
    <dgm:cxn modelId="{A384186A-AC44-410D-AEDA-88AD96A15AB8}" type="presOf" srcId="{2D4F2B41-7BCA-4CAB-921E-6AB3D2B3A42A}" destId="{C8E8A94F-2F57-4A73-92C4-286BAC396CB1}" srcOrd="0" destOrd="0" presId="urn:microsoft.com/office/officeart/2005/8/layout/orgChart1"/>
    <dgm:cxn modelId="{0A5567BD-DBC6-45EB-B21D-0872567CEAF3}" type="presOf" srcId="{600D2B78-DB90-4997-868B-16AE347BD6F9}" destId="{766D428A-A529-4C36-9FF1-BEB311436D55}" srcOrd="0" destOrd="0" presId="urn:microsoft.com/office/officeart/2005/8/layout/orgChart1"/>
    <dgm:cxn modelId="{9167587F-79F3-4933-BCF0-FF962DF1BF2F}" type="presOf" srcId="{F2BE64C4-A859-415C-949E-7DB69F4BCA0C}" destId="{DFF9C37E-F4F3-4AEB-AACB-DC5FE80E5018}" srcOrd="1" destOrd="0" presId="urn:microsoft.com/office/officeart/2005/8/layout/orgChart1"/>
    <dgm:cxn modelId="{9494D9EB-329D-48C1-ABF2-8AF56D62B7AB}" type="presOf" srcId="{1CD73F3E-53DC-49AF-AF7B-66257EDEBE35}" destId="{93A29FE4-BDDB-4AEA-80AE-C7725DF29DB5}" srcOrd="0" destOrd="0" presId="urn:microsoft.com/office/officeart/2005/8/layout/orgChart1"/>
    <dgm:cxn modelId="{0B5A7AA2-CD42-4685-AFD7-C51479B35081}" srcId="{8C0312EC-3FCA-4998-B499-FC1D3A6E3022}" destId="{5B080DCE-6E1A-4482-AC76-61013E4B274E}" srcOrd="3" destOrd="0" parTransId="{1CD73F3E-53DC-49AF-AF7B-66257EDEBE35}" sibTransId="{A8978696-C274-4035-8EB4-81FF88899AEA}"/>
    <dgm:cxn modelId="{276AA83F-2CA9-43D0-A6F3-FC564DD94B84}" type="presOf" srcId="{600D2B78-DB90-4997-868B-16AE347BD6F9}" destId="{B01A8196-D65E-4173-9A65-6EA53E741E06}" srcOrd="1" destOrd="0" presId="urn:microsoft.com/office/officeart/2005/8/layout/orgChart1"/>
    <dgm:cxn modelId="{16E01827-4F00-4F60-8415-B4BBEA69FBBD}" type="presParOf" srcId="{C8E8A94F-2F57-4A73-92C4-286BAC396CB1}" destId="{01AB794F-3871-4AAF-9E03-D2A90A0DDCFB}" srcOrd="0" destOrd="0" presId="urn:microsoft.com/office/officeart/2005/8/layout/orgChart1"/>
    <dgm:cxn modelId="{E9FED0B2-80BA-4F2F-B093-5E0F1E144204}" type="presParOf" srcId="{01AB794F-3871-4AAF-9E03-D2A90A0DDCFB}" destId="{CBA28127-7301-4ABB-AAD1-8CCF3B20A6C4}" srcOrd="0" destOrd="0" presId="urn:microsoft.com/office/officeart/2005/8/layout/orgChart1"/>
    <dgm:cxn modelId="{1ACC2274-A941-4F03-9ADF-55369B8177E7}" type="presParOf" srcId="{CBA28127-7301-4ABB-AAD1-8CCF3B20A6C4}" destId="{96F5FE78-9CF5-4281-9409-0CB40B5C36AC}" srcOrd="0" destOrd="0" presId="urn:microsoft.com/office/officeart/2005/8/layout/orgChart1"/>
    <dgm:cxn modelId="{1D96F22A-3AD2-4E2C-9187-E4846C713A90}" type="presParOf" srcId="{CBA28127-7301-4ABB-AAD1-8CCF3B20A6C4}" destId="{26826601-D8F6-4ECD-B54D-4891C088D2FC}" srcOrd="1" destOrd="0" presId="urn:microsoft.com/office/officeart/2005/8/layout/orgChart1"/>
    <dgm:cxn modelId="{19F6A633-9031-4375-A432-54ED713E999E}" type="presParOf" srcId="{01AB794F-3871-4AAF-9E03-D2A90A0DDCFB}" destId="{83C8DB21-80F5-4FC3-8F9A-4BC7209C626C}" srcOrd="1" destOrd="0" presId="urn:microsoft.com/office/officeart/2005/8/layout/orgChart1"/>
    <dgm:cxn modelId="{6062C5CE-4445-4F1E-B9E2-155C596C3692}" type="presParOf" srcId="{83C8DB21-80F5-4FC3-8F9A-4BC7209C626C}" destId="{E5C9E40B-E4DA-4CAB-8BDF-7768ED1C0D89}" srcOrd="0" destOrd="0" presId="urn:microsoft.com/office/officeart/2005/8/layout/orgChart1"/>
    <dgm:cxn modelId="{DFD9DEFF-BA1A-467B-826D-F3875B8604B3}" type="presParOf" srcId="{83C8DB21-80F5-4FC3-8F9A-4BC7209C626C}" destId="{A614F7E1-0803-4E91-9C19-2065A347C998}" srcOrd="1" destOrd="0" presId="urn:microsoft.com/office/officeart/2005/8/layout/orgChart1"/>
    <dgm:cxn modelId="{0254175B-4E51-4D3F-8AE8-84FAA7B2BA53}" type="presParOf" srcId="{A614F7E1-0803-4E91-9C19-2065A347C998}" destId="{B48EACA0-023E-472A-A797-8913A758F9D2}" srcOrd="0" destOrd="0" presId="urn:microsoft.com/office/officeart/2005/8/layout/orgChart1"/>
    <dgm:cxn modelId="{854757A1-6DEB-49F0-AD55-531C727BA721}" type="presParOf" srcId="{B48EACA0-023E-472A-A797-8913A758F9D2}" destId="{4E973F88-0994-4329-BF66-AA14AC89F3E2}" srcOrd="0" destOrd="0" presId="urn:microsoft.com/office/officeart/2005/8/layout/orgChart1"/>
    <dgm:cxn modelId="{71240118-8071-4423-A800-6A9B847757F0}" type="presParOf" srcId="{B48EACA0-023E-472A-A797-8913A758F9D2}" destId="{DFF9C37E-F4F3-4AEB-AACB-DC5FE80E5018}" srcOrd="1" destOrd="0" presId="urn:microsoft.com/office/officeart/2005/8/layout/orgChart1"/>
    <dgm:cxn modelId="{52F96C10-7D5F-43D6-9E0E-912C09E1218C}" type="presParOf" srcId="{A614F7E1-0803-4E91-9C19-2065A347C998}" destId="{1F4D91E7-C8D1-479F-8ECC-D936A66E694C}" srcOrd="1" destOrd="0" presId="urn:microsoft.com/office/officeart/2005/8/layout/orgChart1"/>
    <dgm:cxn modelId="{10819CDB-CFA3-4009-AEAA-85D4C2477F37}" type="presParOf" srcId="{A614F7E1-0803-4E91-9C19-2065A347C998}" destId="{8196D06C-E658-4E89-9F5C-5862ACDECB67}" srcOrd="2" destOrd="0" presId="urn:microsoft.com/office/officeart/2005/8/layout/orgChart1"/>
    <dgm:cxn modelId="{0DF9406D-B44D-4248-9178-A8180E4F5853}" type="presParOf" srcId="{83C8DB21-80F5-4FC3-8F9A-4BC7209C626C}" destId="{24FDFF97-178F-44E4-BCC1-71F4E755073D}" srcOrd="2" destOrd="0" presId="urn:microsoft.com/office/officeart/2005/8/layout/orgChart1"/>
    <dgm:cxn modelId="{547623D7-5FC6-4F1E-BB76-B82F10FF63D7}" type="presParOf" srcId="{83C8DB21-80F5-4FC3-8F9A-4BC7209C626C}" destId="{5A94304C-9D02-479C-92CC-D21CE6DC91EB}" srcOrd="3" destOrd="0" presId="urn:microsoft.com/office/officeart/2005/8/layout/orgChart1"/>
    <dgm:cxn modelId="{753ACD2F-091F-435B-9A09-8823209D27EE}" type="presParOf" srcId="{5A94304C-9D02-479C-92CC-D21CE6DC91EB}" destId="{CBA23608-FA67-4931-8281-60C40D162DB7}" srcOrd="0" destOrd="0" presId="urn:microsoft.com/office/officeart/2005/8/layout/orgChart1"/>
    <dgm:cxn modelId="{2F124CC7-E873-4F2B-A11D-1771620A2C79}" type="presParOf" srcId="{CBA23608-FA67-4931-8281-60C40D162DB7}" destId="{D52012F8-8613-44F5-BA2E-4E5B17F080E8}" srcOrd="0" destOrd="0" presId="urn:microsoft.com/office/officeart/2005/8/layout/orgChart1"/>
    <dgm:cxn modelId="{AA80C197-CB26-4E0B-832D-FADBF955FCF6}" type="presParOf" srcId="{CBA23608-FA67-4931-8281-60C40D162DB7}" destId="{BA38D66C-86FA-483E-8542-DC224561436D}" srcOrd="1" destOrd="0" presId="urn:microsoft.com/office/officeart/2005/8/layout/orgChart1"/>
    <dgm:cxn modelId="{6A675307-6BD9-4380-B8D0-C1581371D2D6}" type="presParOf" srcId="{5A94304C-9D02-479C-92CC-D21CE6DC91EB}" destId="{F5BDBCA4-B66D-45EE-B6F8-01811D33BA5C}" srcOrd="1" destOrd="0" presId="urn:microsoft.com/office/officeart/2005/8/layout/orgChart1"/>
    <dgm:cxn modelId="{93409D73-3EBB-44B8-A70D-4F9A158D59C0}" type="presParOf" srcId="{5A94304C-9D02-479C-92CC-D21CE6DC91EB}" destId="{0E9AFBEE-D221-47AF-81BF-EF9767B85EC4}" srcOrd="2" destOrd="0" presId="urn:microsoft.com/office/officeart/2005/8/layout/orgChart1"/>
    <dgm:cxn modelId="{9779E696-C8AE-4EA7-B01E-988D89447AE2}" type="presParOf" srcId="{83C8DB21-80F5-4FC3-8F9A-4BC7209C626C}" destId="{93A29FE4-BDDB-4AEA-80AE-C7725DF29DB5}" srcOrd="4" destOrd="0" presId="urn:microsoft.com/office/officeart/2005/8/layout/orgChart1"/>
    <dgm:cxn modelId="{601184D3-4D76-4FE9-B36B-CF688B909ED4}" type="presParOf" srcId="{83C8DB21-80F5-4FC3-8F9A-4BC7209C626C}" destId="{338B4229-838A-42FA-80C2-FA7E106ED46B}" srcOrd="5" destOrd="0" presId="urn:microsoft.com/office/officeart/2005/8/layout/orgChart1"/>
    <dgm:cxn modelId="{B8717516-2999-43C9-9731-B1C5CFFE1E0B}" type="presParOf" srcId="{338B4229-838A-42FA-80C2-FA7E106ED46B}" destId="{FA34AADA-D70A-40C1-8012-1D5341C7056D}" srcOrd="0" destOrd="0" presId="urn:microsoft.com/office/officeart/2005/8/layout/orgChart1"/>
    <dgm:cxn modelId="{CB7E08C6-8A1E-45A6-999F-09197F1E9FA2}" type="presParOf" srcId="{FA34AADA-D70A-40C1-8012-1D5341C7056D}" destId="{05E19A94-C7B2-4A55-AC04-BB48E5EFF711}" srcOrd="0" destOrd="0" presId="urn:microsoft.com/office/officeart/2005/8/layout/orgChart1"/>
    <dgm:cxn modelId="{D1792BFB-BF93-48BF-86FE-BD912E375ADC}" type="presParOf" srcId="{FA34AADA-D70A-40C1-8012-1D5341C7056D}" destId="{8AADF492-8B37-446A-AF1B-1AA611BEF70D}" srcOrd="1" destOrd="0" presId="urn:microsoft.com/office/officeart/2005/8/layout/orgChart1"/>
    <dgm:cxn modelId="{E06A6893-01FF-4896-A714-652DDB52365F}" type="presParOf" srcId="{338B4229-838A-42FA-80C2-FA7E106ED46B}" destId="{405DF5D4-895F-47ED-BA0B-05706DD68224}" srcOrd="1" destOrd="0" presId="urn:microsoft.com/office/officeart/2005/8/layout/orgChart1"/>
    <dgm:cxn modelId="{E27B5C40-83DC-437E-BD78-E7AD75C623E1}" type="presParOf" srcId="{338B4229-838A-42FA-80C2-FA7E106ED46B}" destId="{4224EB07-3EE2-433B-8B44-76A2B5E555CD}" srcOrd="2" destOrd="0" presId="urn:microsoft.com/office/officeart/2005/8/layout/orgChart1"/>
    <dgm:cxn modelId="{CF6FE47E-6AF8-40DC-911A-52A96E21B567}" type="presParOf" srcId="{01AB794F-3871-4AAF-9E03-D2A90A0DDCFB}" destId="{CD07646D-AD7D-4811-8DE9-61C6B514BEA6}" srcOrd="2" destOrd="0" presId="urn:microsoft.com/office/officeart/2005/8/layout/orgChart1"/>
    <dgm:cxn modelId="{D31C3303-E976-4F27-93C1-A00467150C3F}" type="presParOf" srcId="{CD07646D-AD7D-4811-8DE9-61C6B514BEA6}" destId="{F4F172B2-41C9-4308-9693-679B2C9BB6F5}" srcOrd="0" destOrd="0" presId="urn:microsoft.com/office/officeart/2005/8/layout/orgChart1"/>
    <dgm:cxn modelId="{A807E09B-68A1-4DA8-BA0F-87BC53FEF7BE}" type="presParOf" srcId="{CD07646D-AD7D-4811-8DE9-61C6B514BEA6}" destId="{ED641E94-AA83-4DEB-A677-585F20752127}" srcOrd="1" destOrd="0" presId="urn:microsoft.com/office/officeart/2005/8/layout/orgChart1"/>
    <dgm:cxn modelId="{BEAA1379-620C-4AC3-AC74-C8DFA051A7AB}" type="presParOf" srcId="{ED641E94-AA83-4DEB-A677-585F20752127}" destId="{71333CA0-40D8-479F-BD6A-6B02174DDA1C}" srcOrd="0" destOrd="0" presId="urn:microsoft.com/office/officeart/2005/8/layout/orgChart1"/>
    <dgm:cxn modelId="{4536AE9B-7875-4760-802D-F3EF900AC080}" type="presParOf" srcId="{71333CA0-40D8-479F-BD6A-6B02174DDA1C}" destId="{766D428A-A529-4C36-9FF1-BEB311436D55}" srcOrd="0" destOrd="0" presId="urn:microsoft.com/office/officeart/2005/8/layout/orgChart1"/>
    <dgm:cxn modelId="{1480854F-11D2-429B-A985-2BBD1DAF2C0E}" type="presParOf" srcId="{71333CA0-40D8-479F-BD6A-6B02174DDA1C}" destId="{B01A8196-D65E-4173-9A65-6EA53E741E06}" srcOrd="1" destOrd="0" presId="urn:microsoft.com/office/officeart/2005/8/layout/orgChart1"/>
    <dgm:cxn modelId="{5A38B41D-2A5E-4997-9791-D335A58F2FD3}" type="presParOf" srcId="{ED641E94-AA83-4DEB-A677-585F20752127}" destId="{DC32A2DC-2229-462E-A357-35BFE2702FF9}" srcOrd="1" destOrd="0" presId="urn:microsoft.com/office/officeart/2005/8/layout/orgChart1"/>
    <dgm:cxn modelId="{FDBC7371-179E-47FF-A85A-FF412921B092}" type="presParOf" srcId="{ED641E94-AA83-4DEB-A677-585F20752127}" destId="{BD160D11-C5E8-48F1-AA77-404EFC69ABCE}" srcOrd="2" destOrd="0" presId="urn:microsoft.com/office/officeart/2005/8/layout/orgChart1"/>
  </dgm:cxnLst>
  <dgm:bg/>
  <dgm:whole>
    <a:ln w="19050"/>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F172B2-41C9-4308-9693-679B2C9BB6F5}">
      <dsp:nvSpPr>
        <dsp:cNvPr id="0" name=""/>
        <dsp:cNvSpPr/>
      </dsp:nvSpPr>
      <dsp:spPr>
        <a:xfrm>
          <a:off x="1805956" y="803508"/>
          <a:ext cx="650858" cy="581342"/>
        </a:xfrm>
        <a:custGeom>
          <a:avLst/>
          <a:gdLst/>
          <a:ahLst/>
          <a:cxnLst/>
          <a:rect l="0" t="0" r="0" b="0"/>
          <a:pathLst>
            <a:path>
              <a:moveTo>
                <a:pt x="650858" y="0"/>
              </a:moveTo>
              <a:lnTo>
                <a:pt x="0" y="581342"/>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93A29FE4-BDDB-4AEA-80AE-C7725DF29DB5}">
      <dsp:nvSpPr>
        <dsp:cNvPr id="0" name=""/>
        <dsp:cNvSpPr/>
      </dsp:nvSpPr>
      <dsp:spPr>
        <a:xfrm>
          <a:off x="2456815" y="803508"/>
          <a:ext cx="1661695" cy="1200226"/>
        </a:xfrm>
        <a:custGeom>
          <a:avLst/>
          <a:gdLst/>
          <a:ahLst/>
          <a:cxnLst/>
          <a:rect l="0" t="0" r="0" b="0"/>
          <a:pathLst>
            <a:path>
              <a:moveTo>
                <a:pt x="0" y="0"/>
              </a:moveTo>
              <a:lnTo>
                <a:pt x="0" y="1060568"/>
              </a:lnTo>
              <a:lnTo>
                <a:pt x="1661695" y="1060568"/>
              </a:lnTo>
              <a:lnTo>
                <a:pt x="1661695" y="1200226"/>
              </a:lnTo>
            </a:path>
          </a:pathLst>
        </a:custGeom>
        <a:noFill/>
        <a:ln w="19050" cap="flat" cmpd="sng" algn="ctr">
          <a:solidFill>
            <a:sysClr val="windowText" lastClr="000000"/>
          </a:solidFill>
          <a:prstDash val="solid"/>
          <a:miter lim="800000"/>
        </a:ln>
        <a:effectLst/>
      </dsp:spPr>
      <dsp:style>
        <a:lnRef idx="1">
          <a:schemeClr val="dk1"/>
        </a:lnRef>
        <a:fillRef idx="0">
          <a:schemeClr val="dk1"/>
        </a:fillRef>
        <a:effectRef idx="0">
          <a:schemeClr val="dk1"/>
        </a:effectRef>
        <a:fontRef idx="minor">
          <a:schemeClr val="tx1"/>
        </a:fontRef>
      </dsp:style>
    </dsp:sp>
    <dsp:sp modelId="{24FDFF97-178F-44E4-BCC1-71F4E755073D}">
      <dsp:nvSpPr>
        <dsp:cNvPr id="0" name=""/>
        <dsp:cNvSpPr/>
      </dsp:nvSpPr>
      <dsp:spPr>
        <a:xfrm>
          <a:off x="2407882" y="803508"/>
          <a:ext cx="91440" cy="1249858"/>
        </a:xfrm>
        <a:custGeom>
          <a:avLst/>
          <a:gdLst/>
          <a:ahLst/>
          <a:cxnLst/>
          <a:rect l="0" t="0" r="0" b="0"/>
          <a:pathLst>
            <a:path>
              <a:moveTo>
                <a:pt x="48932" y="0"/>
              </a:moveTo>
              <a:lnTo>
                <a:pt x="48932" y="1110200"/>
              </a:lnTo>
              <a:lnTo>
                <a:pt x="45720" y="1110200"/>
              </a:lnTo>
              <a:lnTo>
                <a:pt x="45720" y="1249858"/>
              </a:lnTo>
            </a:path>
          </a:pathLst>
        </a:custGeom>
        <a:noFill/>
        <a:ln w="190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5C9E40B-E4DA-4CAB-8BDF-7768ED1C0D89}">
      <dsp:nvSpPr>
        <dsp:cNvPr id="0" name=""/>
        <dsp:cNvSpPr/>
      </dsp:nvSpPr>
      <dsp:spPr>
        <a:xfrm>
          <a:off x="749756" y="803508"/>
          <a:ext cx="1707058" cy="1223669"/>
        </a:xfrm>
        <a:custGeom>
          <a:avLst/>
          <a:gdLst/>
          <a:ahLst/>
          <a:cxnLst/>
          <a:rect l="0" t="0" r="0" b="0"/>
          <a:pathLst>
            <a:path>
              <a:moveTo>
                <a:pt x="1707058" y="0"/>
              </a:moveTo>
              <a:lnTo>
                <a:pt x="1707058" y="1084011"/>
              </a:lnTo>
              <a:lnTo>
                <a:pt x="0" y="1084011"/>
              </a:lnTo>
              <a:lnTo>
                <a:pt x="0" y="1223669"/>
              </a:lnTo>
            </a:path>
          </a:pathLst>
        </a:custGeom>
        <a:noFill/>
        <a:ln w="19050" cap="flat" cmpd="sng" algn="ctr">
          <a:solidFill>
            <a:sysClr val="windowText" lastClr="000000"/>
          </a:solidFill>
          <a:prstDash val="solid"/>
          <a:miter lim="800000"/>
        </a:ln>
        <a:effectLst/>
      </dsp:spPr>
      <dsp:style>
        <a:lnRef idx="1">
          <a:schemeClr val="dk1"/>
        </a:lnRef>
        <a:fillRef idx="0">
          <a:schemeClr val="dk1"/>
        </a:fillRef>
        <a:effectRef idx="0">
          <a:schemeClr val="dk1"/>
        </a:effectRef>
        <a:fontRef idx="minor">
          <a:schemeClr val="tx1"/>
        </a:fontRef>
      </dsp:style>
    </dsp:sp>
    <dsp:sp modelId="{96F5FE78-9CF5-4281-9409-0CB40B5C36AC}">
      <dsp:nvSpPr>
        <dsp:cNvPr id="0" name=""/>
        <dsp:cNvSpPr/>
      </dsp:nvSpPr>
      <dsp:spPr>
        <a:xfrm>
          <a:off x="1791777" y="138470"/>
          <a:ext cx="1330075" cy="665037"/>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Penyakit Gigi dan Mulut</a:t>
          </a:r>
        </a:p>
      </dsp:txBody>
      <dsp:txXfrm>
        <a:off x="1791777" y="138470"/>
        <a:ext cx="1330075" cy="665037"/>
      </dsp:txXfrm>
    </dsp:sp>
    <dsp:sp modelId="{4E973F88-0994-4329-BF66-AA14AC89F3E2}">
      <dsp:nvSpPr>
        <dsp:cNvPr id="0" name=""/>
        <dsp:cNvSpPr/>
      </dsp:nvSpPr>
      <dsp:spPr>
        <a:xfrm>
          <a:off x="27000" y="2027177"/>
          <a:ext cx="1445512" cy="1022654"/>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Menggosok gigi :</a:t>
          </a:r>
        </a:p>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1.sikat gigi dan pasta gigi</a:t>
          </a:r>
        </a:p>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2.Teknik menggosok gigi</a:t>
          </a:r>
        </a:p>
      </dsp:txBody>
      <dsp:txXfrm>
        <a:off x="27000" y="2027177"/>
        <a:ext cx="1445512" cy="1022654"/>
      </dsp:txXfrm>
    </dsp:sp>
    <dsp:sp modelId="{D52012F8-8613-44F5-BA2E-4E5B17F080E8}">
      <dsp:nvSpPr>
        <dsp:cNvPr id="0" name=""/>
        <dsp:cNvSpPr/>
      </dsp:nvSpPr>
      <dsp:spPr>
        <a:xfrm>
          <a:off x="1741547" y="2053366"/>
          <a:ext cx="1424111" cy="1027343"/>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Perubahan nilai OHI-S</a:t>
          </a:r>
        </a:p>
      </dsp:txBody>
      <dsp:txXfrm>
        <a:off x="1741547" y="2053366"/>
        <a:ext cx="1424111" cy="1027343"/>
      </dsp:txXfrm>
    </dsp:sp>
    <dsp:sp modelId="{05E19A94-C7B2-4A55-AC04-BB48E5EFF711}">
      <dsp:nvSpPr>
        <dsp:cNvPr id="0" name=""/>
        <dsp:cNvSpPr/>
      </dsp:nvSpPr>
      <dsp:spPr>
        <a:xfrm>
          <a:off x="3376967" y="2003734"/>
          <a:ext cx="1483086" cy="1054436"/>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Metode </a:t>
          </a:r>
          <a:r>
            <a:rPr lang="en-ID" sz="1100" i="1" kern="1200">
              <a:solidFill>
                <a:sysClr val="windowText" lastClr="000000"/>
              </a:solidFill>
              <a:latin typeface="Times New Roman" panose="02020603050405020304" pitchFamily="18" charset="0"/>
              <a:ea typeface="+mn-ea"/>
              <a:cs typeface="Times New Roman" panose="02020603050405020304" pitchFamily="18" charset="0"/>
            </a:rPr>
            <a:t>Tell Show Do</a:t>
          </a:r>
        </a:p>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1.Edukasi</a:t>
          </a:r>
        </a:p>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2. Simulasi</a:t>
          </a:r>
        </a:p>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3. Demonstrasi</a:t>
          </a:r>
        </a:p>
      </dsp:txBody>
      <dsp:txXfrm>
        <a:off x="3376967" y="2003734"/>
        <a:ext cx="1483086" cy="1054436"/>
      </dsp:txXfrm>
    </dsp:sp>
    <dsp:sp modelId="{766D428A-A529-4C36-9FF1-BEB311436D55}">
      <dsp:nvSpPr>
        <dsp:cNvPr id="0" name=""/>
        <dsp:cNvSpPr/>
      </dsp:nvSpPr>
      <dsp:spPr>
        <a:xfrm>
          <a:off x="1805956" y="1052332"/>
          <a:ext cx="1330075" cy="665037"/>
        </a:xfrm>
        <a:prstGeom prst="rect">
          <a:avLst/>
        </a:prstGeom>
        <a:solidFill>
          <a:sysClr val="window" lastClr="FFFFFF"/>
        </a:solidFill>
        <a:ln w="12700"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Tunagrahita :</a:t>
          </a:r>
        </a:p>
        <a:p>
          <a:pPr lvl="0" algn="ctr" defTabSz="488950">
            <a:lnSpc>
              <a:spcPct val="90000"/>
            </a:lnSpc>
            <a:spcBef>
              <a:spcPct val="0"/>
            </a:spcBef>
            <a:spcAft>
              <a:spcPct val="35000"/>
            </a:spcAft>
          </a:pPr>
          <a:r>
            <a:rPr lang="en-ID" sz="1100" kern="1200">
              <a:solidFill>
                <a:sysClr val="windowText" lastClr="000000"/>
              </a:solidFill>
              <a:latin typeface="Times New Roman" panose="02020603050405020304" pitchFamily="18" charset="0"/>
              <a:ea typeface="+mn-ea"/>
              <a:cs typeface="Times New Roman" panose="02020603050405020304" pitchFamily="18" charset="0"/>
            </a:rPr>
            <a:t>Keterbatasan metal dan Intelektual</a:t>
          </a:r>
        </a:p>
      </dsp:txBody>
      <dsp:txXfrm>
        <a:off x="1805956" y="1052332"/>
        <a:ext cx="1330075" cy="66503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7147</Words>
  <Characters>40740</Characters>
  <Application>Microsoft Office Word</Application>
  <DocSecurity>0</DocSecurity>
  <Lines>339</Lines>
  <Paragraphs>95</Paragraphs>
  <ScaleCrop>false</ScaleCrop>
  <Company/>
  <LinksUpToDate>false</LinksUpToDate>
  <CharactersWithSpaces>47792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2022-10-18T02:01:00Z</dcterms:created>
  <dcterms:modified xsi:type="dcterms:W3CDTF">2022-10-18T02:01:00Z</dcterms:modified>
</cp:coreProperties>
</file>