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BB0" w:rsidRDefault="00BF2BB0" w:rsidP="00BF2BB0">
      <w:pPr>
        <w:pStyle w:val="Heading1"/>
      </w:pPr>
      <w:bookmarkStart w:id="0" w:name="_Toc90634042"/>
      <w:bookmarkStart w:id="1" w:name="_Toc94015940"/>
      <w:bookmarkStart w:id="2" w:name="_Toc90275198"/>
      <w:bookmarkStart w:id="3" w:name="_Toc90334420"/>
      <w:bookmarkStart w:id="4" w:name="_Toc90633143"/>
      <w:bookmarkStart w:id="5" w:name="_Toc90734458"/>
      <w:bookmarkStart w:id="6" w:name="_Toc90735112"/>
      <w:bookmarkStart w:id="7" w:name="_Toc94016202"/>
      <w:bookmarkStart w:id="8" w:name="_Toc95743747"/>
      <w:bookmarkStart w:id="9" w:name="_Toc102060770"/>
      <w:r>
        <w:t>BAB II</w:t>
      </w:r>
      <w:bookmarkEnd w:id="0"/>
      <w:bookmarkEnd w:id="1"/>
      <w:r>
        <w:t xml:space="preserve"> </w:t>
      </w:r>
      <w:bookmarkStart w:id="10" w:name="_Toc90634043"/>
      <w:bookmarkStart w:id="11" w:name="_Toc94015941"/>
    </w:p>
    <w:p w:rsidR="00BF2BB0" w:rsidRDefault="00BF2BB0" w:rsidP="00BF2BB0">
      <w:pPr>
        <w:pStyle w:val="Heading1"/>
      </w:pPr>
      <w:r>
        <w:t>TINJAUAN PUSTAKA</w:t>
      </w:r>
      <w:bookmarkEnd w:id="2"/>
      <w:bookmarkEnd w:id="3"/>
      <w:bookmarkEnd w:id="4"/>
      <w:bookmarkEnd w:id="5"/>
      <w:bookmarkEnd w:id="6"/>
      <w:bookmarkEnd w:id="7"/>
      <w:bookmarkEnd w:id="8"/>
      <w:bookmarkEnd w:id="9"/>
      <w:bookmarkEnd w:id="10"/>
      <w:bookmarkEnd w:id="11"/>
    </w:p>
    <w:p w:rsidR="00BF2BB0" w:rsidRDefault="00BF2BB0" w:rsidP="00BF2BB0">
      <w:pPr>
        <w:pStyle w:val="Heading2"/>
        <w:numPr>
          <w:ilvl w:val="2"/>
          <w:numId w:val="11"/>
        </w:numPr>
      </w:pPr>
      <w:bookmarkStart w:id="12" w:name="_Toc90275199"/>
      <w:bookmarkStart w:id="13" w:name="_Toc90334421"/>
      <w:bookmarkStart w:id="14" w:name="_Toc90633144"/>
      <w:bookmarkStart w:id="15" w:name="_Toc90634044"/>
      <w:bookmarkStart w:id="16" w:name="_Toc90734459"/>
      <w:bookmarkStart w:id="17" w:name="_Toc90735113"/>
      <w:bookmarkStart w:id="18" w:name="_Toc94015942"/>
      <w:bookmarkStart w:id="19" w:name="_Toc94016203"/>
      <w:bookmarkStart w:id="20" w:name="_Toc95743748"/>
      <w:bookmarkStart w:id="21" w:name="_Toc102060771"/>
      <w:r>
        <w:t>Jaringan Periodontal</w:t>
      </w:r>
      <w:bookmarkEnd w:id="12"/>
      <w:bookmarkEnd w:id="13"/>
      <w:bookmarkEnd w:id="14"/>
      <w:bookmarkEnd w:id="15"/>
      <w:bookmarkEnd w:id="16"/>
      <w:bookmarkEnd w:id="17"/>
      <w:bookmarkEnd w:id="18"/>
      <w:bookmarkEnd w:id="19"/>
      <w:bookmarkEnd w:id="20"/>
      <w:bookmarkEnd w:id="21"/>
    </w:p>
    <w:p w:rsidR="00BF2BB0" w:rsidRDefault="00BF2BB0" w:rsidP="00BF2BB0">
      <w:pPr>
        <w:pStyle w:val="Heading3"/>
        <w:numPr>
          <w:ilvl w:val="0"/>
          <w:numId w:val="14"/>
        </w:numPr>
      </w:pPr>
      <w:bookmarkStart w:id="22" w:name="_Toc90275200"/>
      <w:bookmarkStart w:id="23" w:name="_Toc90334422"/>
      <w:bookmarkStart w:id="24" w:name="_Toc90633145"/>
      <w:bookmarkStart w:id="25" w:name="_Toc90634045"/>
      <w:bookmarkStart w:id="26" w:name="_Toc90734460"/>
      <w:bookmarkStart w:id="27" w:name="_Toc90735114"/>
      <w:bookmarkStart w:id="28" w:name="_Toc94015943"/>
      <w:bookmarkStart w:id="29" w:name="_Toc94016204"/>
      <w:bookmarkStart w:id="30" w:name="_Toc95743749"/>
      <w:bookmarkStart w:id="31" w:name="_Toc102060772"/>
      <w:r>
        <w:t>Pengertian Jaringan Periodontal</w:t>
      </w:r>
      <w:bookmarkEnd w:id="22"/>
      <w:bookmarkEnd w:id="23"/>
      <w:bookmarkEnd w:id="24"/>
      <w:bookmarkEnd w:id="25"/>
      <w:bookmarkEnd w:id="26"/>
      <w:bookmarkEnd w:id="27"/>
      <w:bookmarkEnd w:id="28"/>
      <w:bookmarkEnd w:id="29"/>
      <w:bookmarkEnd w:id="30"/>
      <w:bookmarkEnd w:id="31"/>
    </w:p>
    <w:p w:rsidR="00BF2BB0" w:rsidRDefault="00BF2BB0" w:rsidP="00BF2BB0">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Jaringan periodontal artinya struktur jaringan penyangga gigi yang mengelilingi akar gigi serta melekatkanya ke tulang alveolar. Jaringan periodontal terdiri atas gingiva, tulang alveolar, ligamentum periodontal dan  sementum. Sementum termasuk pada jaringan periodontal, karena sementum bersama-sama menggunakan tulang alveolar adalah tempat tertanamnya serat-serat ligamentum periodontal. Setiap jaringan memainkan peran yang penting pada memelihara kesehatan gigi serta fungsi dari periodontal. (Putri,2012).</w:t>
      </w:r>
    </w:p>
    <w:p w:rsidR="00BF2BB0" w:rsidRDefault="00BF2BB0" w:rsidP="00BF2BB0">
      <w:pPr>
        <w:spacing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22F229EC" wp14:editId="3F3F1455">
            <wp:extent cx="2616769" cy="2095500"/>
            <wp:effectExtent l="0" t="0" r="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srcRect/>
                    <a:stretch/>
                  </pic:blipFill>
                  <pic:spPr>
                    <a:xfrm>
                      <a:off x="0" y="0"/>
                      <a:ext cx="2616769" cy="2095500"/>
                    </a:xfrm>
                    <a:prstGeom prst="rect">
                      <a:avLst/>
                    </a:prstGeom>
                  </pic:spPr>
                </pic:pic>
              </a:graphicData>
            </a:graphic>
          </wp:inline>
        </w:drawing>
      </w:r>
    </w:p>
    <w:p w:rsidR="00BF2BB0" w:rsidRDefault="00BF2BB0" w:rsidP="00BF2BB0">
      <w:pPr>
        <w:spacing w:after="0" w:line="240" w:lineRule="auto"/>
        <w:jc w:val="center"/>
        <w:rPr>
          <w:rFonts w:ascii="Times New Roman" w:hAnsi="Times New Roman" w:cs="Times New Roman"/>
          <w:b/>
        </w:rPr>
      </w:pPr>
      <w:r>
        <w:rPr>
          <w:rFonts w:ascii="Times New Roman" w:hAnsi="Times New Roman" w:cs="Times New Roman"/>
          <w:b/>
        </w:rPr>
        <w:t xml:space="preserve">Gambar 2.1 Jaringan Periodontal </w:t>
      </w:r>
    </w:p>
    <w:p w:rsidR="00BF2BB0" w:rsidRDefault="00BF2BB0" w:rsidP="00BF2BB0">
      <w:pPr>
        <w:spacing w:after="0" w:line="240" w:lineRule="auto"/>
        <w:jc w:val="center"/>
        <w:rPr>
          <w:rFonts w:ascii="Times New Roman" w:hAnsi="Times New Roman" w:cs="Times New Roman"/>
          <w:b/>
        </w:rPr>
      </w:pPr>
      <w:r>
        <w:rPr>
          <w:rFonts w:ascii="Times New Roman" w:hAnsi="Times New Roman" w:cs="Times New Roman"/>
          <w:b/>
        </w:rPr>
        <w:t xml:space="preserve">Sumber : </w:t>
      </w:r>
      <w:hyperlink r:id="rId6" w:history="1">
        <w:r>
          <w:rPr>
            <w:rStyle w:val="Hyperlink"/>
            <w:rFonts w:ascii="Times New Roman" w:hAnsi="Times New Roman" w:cs="Times New Roman"/>
            <w:b/>
          </w:rPr>
          <w:t>https://repository.unair.ac.id/20059/2/gdlhub-gdl-s1-2010-arynuzulul-10854-kg1910-k.pdf</w:t>
        </w:r>
      </w:hyperlink>
      <w:r>
        <w:rPr>
          <w:rFonts w:ascii="Times New Roman" w:hAnsi="Times New Roman" w:cs="Times New Roman"/>
          <w:b/>
        </w:rPr>
        <w:t xml:space="preserve"> , diakses pada senin 15 November 2021</w:t>
      </w:r>
    </w:p>
    <w:p w:rsidR="00BF2BB0" w:rsidRDefault="00BF2BB0" w:rsidP="00BF2BB0">
      <w:pPr>
        <w:spacing w:after="0" w:line="240" w:lineRule="auto"/>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jc w:val="center"/>
        <w:rPr>
          <w:rFonts w:ascii="Times New Roman" w:hAnsi="Times New Roman" w:cs="Times New Roman"/>
        </w:rPr>
      </w:pPr>
    </w:p>
    <w:p w:rsidR="00BF2BB0" w:rsidRDefault="00BF2BB0" w:rsidP="00BF2BB0">
      <w:pPr>
        <w:spacing w:after="0" w:line="240" w:lineRule="auto"/>
        <w:rPr>
          <w:rFonts w:ascii="Times New Roman" w:hAnsi="Times New Roman" w:cs="Times New Roman"/>
        </w:rPr>
      </w:pPr>
    </w:p>
    <w:p w:rsidR="00BF2BB0" w:rsidRDefault="00BF2BB0" w:rsidP="00BF2BB0">
      <w:pPr>
        <w:pStyle w:val="Heading3"/>
        <w:numPr>
          <w:ilvl w:val="0"/>
          <w:numId w:val="14"/>
        </w:numPr>
      </w:pPr>
      <w:bookmarkStart w:id="32" w:name="_Toc90275201"/>
      <w:bookmarkStart w:id="33" w:name="_Toc90334423"/>
      <w:bookmarkStart w:id="34" w:name="_Toc90633146"/>
      <w:bookmarkStart w:id="35" w:name="_Toc90634046"/>
      <w:bookmarkStart w:id="36" w:name="_Toc90734461"/>
      <w:bookmarkStart w:id="37" w:name="_Toc90735115"/>
      <w:bookmarkStart w:id="38" w:name="_Toc94015944"/>
      <w:bookmarkStart w:id="39" w:name="_Toc94016205"/>
      <w:bookmarkStart w:id="40" w:name="_Toc95743750"/>
      <w:bookmarkStart w:id="41" w:name="_Toc102060773"/>
      <w:r>
        <w:lastRenderedPageBreak/>
        <w:t>Macam-Macam Jaringan Periodontal</w:t>
      </w:r>
      <w:bookmarkEnd w:id="32"/>
      <w:bookmarkEnd w:id="33"/>
      <w:bookmarkEnd w:id="34"/>
      <w:bookmarkEnd w:id="35"/>
      <w:bookmarkEnd w:id="36"/>
      <w:bookmarkEnd w:id="37"/>
      <w:bookmarkEnd w:id="38"/>
      <w:bookmarkEnd w:id="39"/>
      <w:bookmarkEnd w:id="40"/>
      <w:bookmarkEnd w:id="41"/>
    </w:p>
    <w:p w:rsidR="00BF2BB0" w:rsidRDefault="00BF2BB0" w:rsidP="00BF2BB0">
      <w:pPr>
        <w:spacing w:line="480" w:lineRule="auto"/>
        <w:ind w:left="1276" w:hanging="425"/>
        <w:jc w:val="both"/>
        <w:rPr>
          <w:rFonts w:ascii="Times New Roman" w:hAnsi="Times New Roman" w:cs="Times New Roman"/>
          <w:sz w:val="24"/>
        </w:rPr>
      </w:pPr>
      <w:r>
        <w:rPr>
          <w:rFonts w:ascii="Times New Roman" w:hAnsi="Times New Roman" w:cs="Times New Roman"/>
          <w:sz w:val="24"/>
        </w:rPr>
        <w:t>Menurut Putri (2012) jaringan periodontal terdiri dari :</w:t>
      </w:r>
    </w:p>
    <w:p w:rsidR="00BF2BB0" w:rsidRDefault="00BF2BB0" w:rsidP="00BF2BB0">
      <w:pPr>
        <w:pStyle w:val="ListParagraph"/>
        <w:numPr>
          <w:ilvl w:val="0"/>
          <w:numId w:val="4"/>
        </w:numPr>
        <w:spacing w:line="480" w:lineRule="auto"/>
        <w:ind w:left="1276" w:hanging="425"/>
        <w:jc w:val="both"/>
        <w:rPr>
          <w:rFonts w:ascii="Times New Roman" w:hAnsi="Times New Roman" w:cs="Times New Roman"/>
          <w:sz w:val="24"/>
        </w:rPr>
      </w:pPr>
      <w:r>
        <w:rPr>
          <w:rFonts w:ascii="Times New Roman" w:hAnsi="Times New Roman" w:cs="Times New Roman"/>
          <w:sz w:val="24"/>
        </w:rPr>
        <w:t>Gingiva</w:t>
      </w:r>
    </w:p>
    <w:p w:rsidR="00BF2BB0" w:rsidRDefault="00BF2BB0" w:rsidP="00BF2BB0">
      <w:pPr>
        <w:pStyle w:val="ListParagraph"/>
        <w:spacing w:line="480" w:lineRule="auto"/>
        <w:ind w:left="1276"/>
        <w:jc w:val="both"/>
        <w:rPr>
          <w:rFonts w:ascii="Times New Roman" w:hAnsi="Times New Roman" w:cs="Times New Roman"/>
          <w:sz w:val="24"/>
        </w:rPr>
      </w:pPr>
      <w:r>
        <w:rPr>
          <w:rFonts w:ascii="Times New Roman" w:hAnsi="Times New Roman" w:cs="Times New Roman"/>
          <w:sz w:val="24"/>
        </w:rPr>
        <w:t xml:space="preserve">   Gusi atau yg disebut juga gingiva artinya jaringan lunak yang menutupi leher gigi dan  tulang rahang, baik yg terdapat di rahang atas juga rahang bawah, gusi sendiri juga artinya salah  satu jaringan penyangga. Gingiva adalah bagian dari jaringan periodontal yang paling luar, Gingiva kali dipakai menjadi indikator jika jaringan periodontal terkena penyakit. Hal ini disebabkan karena kebanyakan penyakit periodontal dimulai dari gingiva, kadang-kadang gingiva juga apat menggambarkan keadaan tulang akveolar yang berada dibawahnya</w:t>
      </w:r>
      <w:r>
        <w:rPr>
          <w:rFonts w:ascii="Times New Roman" w:hAnsi="Times New Roman" w:cs="Times New Roman"/>
          <w:sz w:val="24"/>
          <w:lang w:val="id-ID"/>
        </w:rPr>
        <w:t>.</w:t>
      </w:r>
    </w:p>
    <w:p w:rsidR="00BF2BB0" w:rsidRDefault="00BF2BB0" w:rsidP="00BF2BB0">
      <w:pPr>
        <w:spacing w:line="480" w:lineRule="auto"/>
        <w:ind w:left="1276" w:firstLine="709"/>
        <w:jc w:val="both"/>
        <w:rPr>
          <w:rFonts w:ascii="Times New Roman" w:hAnsi="Times New Roman" w:cs="Times New Roman"/>
          <w:sz w:val="24"/>
        </w:rPr>
      </w:pPr>
      <w:r>
        <w:rPr>
          <w:rFonts w:ascii="Times New Roman" w:hAnsi="Times New Roman" w:cs="Times New Roman"/>
          <w:sz w:val="24"/>
        </w:rPr>
        <w:t xml:space="preserve">Gingiva merupakan bagian dari membran mukosa mulut tipe astikasi yang melekat pada tulang alveolar serta menutupi dan  mengelilingi leher gigi di permukaan rongga mulut gingiva meluas asal puncak  marginal gingiva hingga ke pertautan mukogingival. Pertautan mukogingival ini merupakan batas antara gingiva dengan mukosa mulut lainnya. </w:t>
      </w:r>
    </w:p>
    <w:p w:rsidR="00BF2BB0" w:rsidRDefault="00BF2BB0" w:rsidP="00BF2BB0">
      <w:pPr>
        <w:spacing w:line="480" w:lineRule="auto"/>
        <w:ind w:left="1276" w:firstLine="709"/>
        <w:jc w:val="both"/>
        <w:rPr>
          <w:rFonts w:ascii="Times New Roman" w:hAnsi="Times New Roman" w:cs="Times New Roman"/>
          <w:sz w:val="24"/>
        </w:rPr>
      </w:pPr>
      <w:r>
        <w:rPr>
          <w:rFonts w:ascii="Times New Roman" w:hAnsi="Times New Roman" w:cs="Times New Roman"/>
          <w:sz w:val="24"/>
        </w:rPr>
        <w:t>Mukosa mulut dapat dibedakan menggunakan mudah asal gingiva, sebab warnanya merah gelap, serta permukaannya licin atau halus mengkilat. Hal ini dijumpai di permukaan vestibuar mandibula maupun maksila serta permukaan berkaitan dengan mulut mandibula. Pada permukaan oral maksila tidak dijumpai pertautan mukogingival sama sekali, sebab gingiva berbatasan menggunakan membran mukosa mulut yang menutupi palatum durum, yang tipenya sama menggunakan gingiva.</w:t>
      </w:r>
      <w:r>
        <w:rPr>
          <w:rFonts w:ascii="Times New Roman" w:hAnsi="Times New Roman" w:cs="Times New Roman"/>
          <w:sz w:val="24"/>
          <w:lang w:val="id-ID"/>
        </w:rPr>
        <w:t xml:space="preserve"> </w:t>
      </w:r>
      <w:r>
        <w:rPr>
          <w:rFonts w:ascii="Times New Roman" w:hAnsi="Times New Roman" w:cs="Times New Roman"/>
          <w:sz w:val="24"/>
        </w:rPr>
        <w:t xml:space="preserve">Gingiva mengelilingi  gigi  dan  meluas  sampai  ke  ruang  </w:t>
      </w:r>
      <w:r>
        <w:rPr>
          <w:rFonts w:ascii="Times New Roman" w:hAnsi="Times New Roman" w:cs="Times New Roman"/>
          <w:sz w:val="24"/>
        </w:rPr>
        <w:lastRenderedPageBreak/>
        <w:t>interdental.  Gingiva  di antara  permukaan  oral  dan  vestibular,  berhubungan  satu  sama  lain melalui gingiva yang berada di ruang interdental ini</w:t>
      </w:r>
    </w:p>
    <w:p w:rsidR="00BF2BB0" w:rsidRDefault="00BF2BB0" w:rsidP="00BF2BB0">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1FBD34C" wp14:editId="64E60351">
            <wp:extent cx="2676525" cy="1713865"/>
            <wp:effectExtent l="0" t="0" r="0" b="635"/>
            <wp:docPr id="10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7" cstate="print"/>
                    <a:srcRect/>
                    <a:stretch/>
                  </pic:blipFill>
                  <pic:spPr>
                    <a:xfrm>
                      <a:off x="0" y="0"/>
                      <a:ext cx="2676525" cy="1713865"/>
                    </a:xfrm>
                    <a:prstGeom prst="rect">
                      <a:avLst/>
                    </a:prstGeom>
                  </pic:spPr>
                </pic:pic>
              </a:graphicData>
            </a:graphic>
          </wp:inline>
        </w:drawing>
      </w:r>
    </w:p>
    <w:p w:rsidR="00BF2BB0" w:rsidRDefault="00BF2BB0" w:rsidP="00BF2BB0">
      <w:pPr>
        <w:spacing w:line="240" w:lineRule="auto"/>
        <w:jc w:val="center"/>
        <w:rPr>
          <w:rFonts w:ascii="Times New Roman" w:hAnsi="Times New Roman" w:cs="Times New Roman"/>
          <w:b/>
          <w:sz w:val="24"/>
        </w:rPr>
      </w:pPr>
      <w:r>
        <w:rPr>
          <w:rFonts w:ascii="Times New Roman" w:hAnsi="Times New Roman" w:cs="Times New Roman"/>
          <w:b/>
          <w:sz w:val="24"/>
        </w:rPr>
        <w:t>Gambar 2.2 Gingiva</w:t>
      </w:r>
    </w:p>
    <w:p w:rsidR="00BF2BB0" w:rsidRDefault="00BF2BB0" w:rsidP="00BF2BB0">
      <w:pPr>
        <w:spacing w:line="240" w:lineRule="auto"/>
        <w:jc w:val="center"/>
        <w:rPr>
          <w:rFonts w:ascii="Times New Roman" w:hAnsi="Times New Roman" w:cs="Times New Roman"/>
          <w:b/>
        </w:rPr>
      </w:pPr>
      <w:r>
        <w:rPr>
          <w:rFonts w:ascii="Times New Roman" w:hAnsi="Times New Roman" w:cs="Times New Roman"/>
          <w:b/>
        </w:rPr>
        <w:t xml:space="preserve">Sumber : </w:t>
      </w:r>
      <w:hyperlink r:id="rId8" w:history="1">
        <w:r>
          <w:rPr>
            <w:rStyle w:val="Hyperlink"/>
            <w:rFonts w:ascii="Times New Roman" w:hAnsi="Times New Roman" w:cs="Times New Roman"/>
            <w:b/>
          </w:rPr>
          <w:t>https://www.researchgate.net/figure/Marginal-free-gingiva-attached-gingiva-and-alveolar-mucosa_fig4_237819432</w:t>
        </w:r>
      </w:hyperlink>
      <w:r>
        <w:rPr>
          <w:rFonts w:ascii="Times New Roman" w:hAnsi="Times New Roman" w:cs="Times New Roman"/>
          <w:b/>
        </w:rPr>
        <w:t xml:space="preserve"> , diakses pada senin 15 November 2021</w:t>
      </w:r>
    </w:p>
    <w:p w:rsidR="00BF2BB0" w:rsidRDefault="00BF2BB0" w:rsidP="00BF2BB0">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Pembagian Gingiva</w:t>
      </w:r>
    </w:p>
    <w:p w:rsidR="00BF2BB0" w:rsidRDefault="00BF2BB0" w:rsidP="00BF2BB0">
      <w:pPr>
        <w:pStyle w:val="ListParagraph"/>
        <w:spacing w:line="480" w:lineRule="auto"/>
        <w:ind w:left="360" w:firstLine="360"/>
        <w:jc w:val="both"/>
        <w:rPr>
          <w:rFonts w:ascii="Times New Roman" w:hAnsi="Times New Roman" w:cs="Times New Roman"/>
          <w:sz w:val="24"/>
        </w:rPr>
      </w:pPr>
      <w:r>
        <w:rPr>
          <w:rFonts w:ascii="Times New Roman" w:hAnsi="Times New Roman" w:cs="Times New Roman"/>
          <w:sz w:val="24"/>
        </w:rPr>
        <w:t>Secara  anatomis  gingiva  dibagi  menjadi  dua  bagian,  yaitu gingiva cekat (</w:t>
      </w:r>
      <w:r>
        <w:rPr>
          <w:rFonts w:ascii="Times New Roman" w:hAnsi="Times New Roman" w:cs="Times New Roman"/>
          <w:i/>
          <w:iCs/>
          <w:sz w:val="24"/>
        </w:rPr>
        <w:t>unttached gingiva</w:t>
      </w:r>
      <w:r>
        <w:rPr>
          <w:rFonts w:ascii="Times New Roman" w:hAnsi="Times New Roman" w:cs="Times New Roman"/>
          <w:sz w:val="24"/>
        </w:rPr>
        <w:t>) dan gingiva tidak cekat (</w:t>
      </w:r>
      <w:r>
        <w:rPr>
          <w:rFonts w:ascii="Times New Roman" w:hAnsi="Times New Roman" w:cs="Times New Roman"/>
          <w:i/>
          <w:iCs/>
          <w:sz w:val="24"/>
        </w:rPr>
        <w:t>unattached gingiva</w:t>
      </w:r>
      <w:r>
        <w:rPr>
          <w:rFonts w:ascii="Times New Roman" w:hAnsi="Times New Roman" w:cs="Times New Roman"/>
          <w:sz w:val="24"/>
        </w:rPr>
        <w:t>)  yang terdiri atas  gingiva bebas (</w:t>
      </w:r>
      <w:r>
        <w:rPr>
          <w:rFonts w:ascii="Times New Roman" w:hAnsi="Times New Roman" w:cs="Times New Roman"/>
          <w:i/>
          <w:iCs/>
          <w:sz w:val="24"/>
        </w:rPr>
        <w:t>free gingiva</w:t>
      </w:r>
      <w:r>
        <w:rPr>
          <w:rFonts w:ascii="Times New Roman" w:hAnsi="Times New Roman" w:cs="Times New Roman"/>
          <w:sz w:val="24"/>
        </w:rPr>
        <w:t xml:space="preserve">) dan marginal gingiva. Tetapi untuk kepentingan klinis yang khusus, bagian gingiva yang berada diruang interdental, dipisahkan secara  klinis  sebagai  suatu  bagian  khusus  dari  gingival.  </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Hal ini disebabkan bagian  gingiva  tersebut  digunakan  sebagai  indikator yang  paling  akurat  untuk  mengetahui  terjadinya  penyakit  gingiva sedini mungkin. Dengan  demikian,  untuk  pembahasan  selanjutnya  gingiva dibagi menjadi tiga bagian, yaitu papila interdental, marginal gingiva, dan gingiva cekat.</w:t>
      </w:r>
    </w:p>
    <w:p w:rsidR="00BF2BB0" w:rsidRDefault="00BF2BB0" w:rsidP="00BF2BB0">
      <w:pPr>
        <w:pStyle w:val="ListParagraph"/>
        <w:numPr>
          <w:ilvl w:val="0"/>
          <w:numId w:val="2"/>
        </w:numPr>
        <w:spacing w:line="480" w:lineRule="auto"/>
        <w:jc w:val="both"/>
        <w:rPr>
          <w:rFonts w:ascii="Times New Roman" w:hAnsi="Times New Roman" w:cs="Times New Roman"/>
          <w:sz w:val="24"/>
        </w:rPr>
      </w:pPr>
      <w:r>
        <w:rPr>
          <w:rFonts w:ascii="Times New Roman" w:hAnsi="Times New Roman" w:cs="Times New Roman"/>
          <w:i/>
          <w:sz w:val="24"/>
        </w:rPr>
        <w:t>Unattached gingiva</w:t>
      </w:r>
      <w:r>
        <w:rPr>
          <w:rFonts w:ascii="Times New Roman" w:hAnsi="Times New Roman" w:cs="Times New Roman"/>
          <w:sz w:val="24"/>
        </w:rPr>
        <w:t xml:space="preserve"> </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i/>
          <w:sz w:val="24"/>
        </w:rPr>
        <w:t>Unattached gingiva</w:t>
      </w:r>
      <w:r>
        <w:rPr>
          <w:rFonts w:ascii="Times New Roman" w:hAnsi="Times New Roman" w:cs="Times New Roman"/>
          <w:sz w:val="24"/>
        </w:rPr>
        <w:t xml:space="preserve"> atau dikenal atau juga dengan istilah gingiva atau marginal gingiva adalah bagian dari gingiva yang tidak melekat erat pada gigi, mengelilingi daerah leher gigi </w:t>
      </w:r>
      <w:r>
        <w:rPr>
          <w:rFonts w:ascii="Times New Roman" w:hAnsi="Times New Roman" w:cs="Times New Roman"/>
          <w:sz w:val="24"/>
        </w:rPr>
        <w:lastRenderedPageBreak/>
        <w:t xml:space="preserve">sehingga membentuk rongga seperti cangkang. Batas antara gingiva marginal dan gingiva cekat adalah alur dangkal, yang dikenal sebagai alur gingiva. Alur gingiva bebas ini berjalan sejajar dengan margin gingiva. Dalam keadaan normal, </w:t>
      </w:r>
      <w:r>
        <w:rPr>
          <w:rFonts w:ascii="Times New Roman" w:hAnsi="Times New Roman" w:cs="Times New Roman"/>
          <w:i/>
          <w:iCs/>
          <w:sz w:val="24"/>
        </w:rPr>
        <w:t>free gingival groove</w:t>
      </w:r>
      <w:r>
        <w:rPr>
          <w:rFonts w:ascii="Times New Roman" w:hAnsi="Times New Roman" w:cs="Times New Roman"/>
          <w:sz w:val="24"/>
        </w:rPr>
        <w:t xml:space="preserve"> ini dapat digunakan sebagai dasar pembuatan sulkus gingiva. Marginal gingiva sedikit miring ke arah gigi dan memiliki tepi yang tipis dan membulat. Pada arah mesial-distal, margin gingiva memiliki struktur lengkung apikal. Karena marginal gingiva tidak terikat kuat dengan gigi, dinding samping margin gingiva ini adalah dinding sulkus gingiva. Sonde  atau  probe  dengan  jalan meregangkan gingiva secara hati-hati.</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Alur gingiva adalah celah antara gigi dan gusi marginal. Fisura ini dibatasi secara medial oleh permukaan gigi dan secara lateral oleh epitel gingiva marginal bagian dalam. Bagian dalam slot berbentuk V memiliki kedalaman 0-6 mm, dengan rata-rata 1,8 mm. Alur gingiva dapat menjadi lebih dalam sebagai akibat dari proses pengelupasan yang disebabkan oleh perubahan permukaan email dan degradasi sel di dasar alur, diikuti oleh migrasi sel epitel yang menempel. Alur gingiva diisi dengan cairan dari jaringan ikat gingiva. Cairan ini merembes melalui epitel alur. Cairan ini bertindak sebagai pembersih celah, menciptakan adhesi epitel ke gigi, karena mengandung protein plasma, agen antimikroba, antibodi yang melindungi gusi dan lingkungan mikroba.Cairan gingiva bertambah banyak jika terjadi peradangan pada gingiva, pada penyikatan gigi, masage gingiva, dan pada waktu makan makanan yang berserat.</w:t>
      </w:r>
    </w:p>
    <w:p w:rsidR="00BF2BB0" w:rsidRDefault="00BF2BB0" w:rsidP="00BF2BB0">
      <w:pPr>
        <w:pStyle w:val="ListParagraph"/>
        <w:numPr>
          <w:ilvl w:val="0"/>
          <w:numId w:val="2"/>
        </w:numPr>
        <w:spacing w:line="480" w:lineRule="auto"/>
        <w:jc w:val="both"/>
        <w:rPr>
          <w:rFonts w:ascii="Times New Roman" w:hAnsi="Times New Roman" w:cs="Times New Roman"/>
          <w:i/>
          <w:sz w:val="24"/>
        </w:rPr>
      </w:pPr>
      <w:r>
        <w:rPr>
          <w:rFonts w:ascii="Times New Roman" w:hAnsi="Times New Roman" w:cs="Times New Roman"/>
          <w:i/>
          <w:sz w:val="24"/>
        </w:rPr>
        <w:t>Papila interdental</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i/>
          <w:sz w:val="24"/>
        </w:rPr>
        <w:t>Papila  interdental</w:t>
      </w:r>
      <w:r>
        <w:rPr>
          <w:rFonts w:ascii="Times New Roman" w:hAnsi="Times New Roman" w:cs="Times New Roman"/>
          <w:sz w:val="24"/>
        </w:rPr>
        <w:t xml:space="preserve">  atau  </w:t>
      </w:r>
      <w:r>
        <w:rPr>
          <w:rFonts w:ascii="Times New Roman" w:hAnsi="Times New Roman" w:cs="Times New Roman"/>
          <w:i/>
          <w:sz w:val="24"/>
        </w:rPr>
        <w:t xml:space="preserve">gingival </w:t>
      </w:r>
      <w:r>
        <w:rPr>
          <w:rFonts w:ascii="Times New Roman" w:hAnsi="Times New Roman" w:cs="Times New Roman"/>
          <w:sz w:val="24"/>
        </w:rPr>
        <w:t xml:space="preserve"> </w:t>
      </w:r>
      <w:r>
        <w:rPr>
          <w:rFonts w:ascii="Times New Roman" w:hAnsi="Times New Roman" w:cs="Times New Roman"/>
          <w:i/>
          <w:sz w:val="24"/>
        </w:rPr>
        <w:t xml:space="preserve">interdental </w:t>
      </w:r>
      <w:r>
        <w:rPr>
          <w:rFonts w:ascii="Times New Roman" w:hAnsi="Times New Roman" w:cs="Times New Roman"/>
          <w:sz w:val="24"/>
        </w:rPr>
        <w:t xml:space="preserve"> merupakan bagian gingiva yang mengisi ruangan interdental, yaitu ruangan di  antara  dua  gigi  yang  letaknya  berdeketan  dari  daerah  akar sampai  titik  kontak.  Gingiva  interdental    cekat  ini  batas  yang dibentuk  oleh  gingiva  </w:t>
      </w:r>
      <w:r>
        <w:rPr>
          <w:rFonts w:ascii="Times New Roman" w:hAnsi="Times New Roman" w:cs="Times New Roman"/>
          <w:sz w:val="24"/>
        </w:rPr>
        <w:lastRenderedPageBreak/>
        <w:t>bebas  dari  dua  gigi  yang  berdekatn  dan bagian  tengah  dari  papila  interdental  dibentuk  oleh  gingiva cekat.</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i/>
          <w:sz w:val="24"/>
        </w:rPr>
        <w:t>Col</w:t>
      </w:r>
      <w:r>
        <w:rPr>
          <w:rFonts w:ascii="Times New Roman" w:hAnsi="Times New Roman" w:cs="Times New Roman"/>
          <w:sz w:val="24"/>
        </w:rPr>
        <w:t xml:space="preserve"> merupakan  lembah  yang  menurun  dalam  bagian gingiva  interdental,  letaknya  langsung  dari  arah  akar  ke  titik kontak. </w:t>
      </w:r>
      <w:r>
        <w:rPr>
          <w:rFonts w:ascii="Times New Roman" w:hAnsi="Times New Roman" w:cs="Times New Roman"/>
          <w:i/>
          <w:sz w:val="24"/>
        </w:rPr>
        <w:t>Col</w:t>
      </w:r>
      <w:r>
        <w:rPr>
          <w:rFonts w:ascii="Times New Roman" w:hAnsi="Times New Roman" w:cs="Times New Roman"/>
          <w:sz w:val="24"/>
        </w:rPr>
        <w:t xml:space="preserve"> tidak  dijumpai  jika  tidak  ada  dua  gigi  berdekatan atau tidak ada titik kontak (diastema) atau jika </w:t>
      </w:r>
      <w:r>
        <w:rPr>
          <w:rFonts w:ascii="Times New Roman" w:hAnsi="Times New Roman" w:cs="Times New Roman"/>
          <w:i/>
          <w:sz w:val="24"/>
        </w:rPr>
        <w:t>gingival</w:t>
      </w:r>
      <w:r>
        <w:rPr>
          <w:rFonts w:ascii="Times New Roman" w:hAnsi="Times New Roman" w:cs="Times New Roman"/>
          <w:sz w:val="24"/>
        </w:rPr>
        <w:t xml:space="preserve"> menyusut. Gingiva interdental berfungsi mencegah terjadinya penumpukan makanan di antara dua gigi selama pengunyahan.</w:t>
      </w:r>
    </w:p>
    <w:p w:rsidR="00BF2BB0" w:rsidRDefault="00BF2BB0" w:rsidP="00BF2BB0">
      <w:pPr>
        <w:pStyle w:val="ListParagraph"/>
        <w:numPr>
          <w:ilvl w:val="0"/>
          <w:numId w:val="2"/>
        </w:numPr>
        <w:spacing w:line="480" w:lineRule="auto"/>
        <w:jc w:val="both"/>
        <w:rPr>
          <w:rFonts w:ascii="Times New Roman" w:hAnsi="Times New Roman" w:cs="Times New Roman"/>
          <w:sz w:val="24"/>
        </w:rPr>
      </w:pPr>
      <w:r>
        <w:rPr>
          <w:rFonts w:ascii="Times New Roman" w:hAnsi="Times New Roman" w:cs="Times New Roman"/>
          <w:sz w:val="24"/>
        </w:rPr>
        <w:t>Gingiva cekat</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Gingiva  cekat  merupakan  lanjutan  marginal  gingival, meluas dari </w:t>
      </w:r>
      <w:r>
        <w:rPr>
          <w:rFonts w:ascii="Times New Roman" w:hAnsi="Times New Roman" w:cs="Times New Roman"/>
          <w:i/>
          <w:sz w:val="24"/>
        </w:rPr>
        <w:t>free gingival groove</w:t>
      </w:r>
      <w:r>
        <w:rPr>
          <w:rFonts w:ascii="Times New Roman" w:hAnsi="Times New Roman" w:cs="Times New Roman"/>
          <w:sz w:val="24"/>
        </w:rPr>
        <w:t xml:space="preserve"> sampai ke pertautan mukogingival.  Gingiva  cekat  ini  melekat  erat  ke  sementum mulai dari sepertiga bagian akar ke periosteum tulang alveolar. Pada  permukaan  </w:t>
      </w:r>
      <w:r>
        <w:rPr>
          <w:rFonts w:ascii="Times New Roman" w:hAnsi="Times New Roman" w:cs="Times New Roman"/>
          <w:i/>
          <w:sz w:val="24"/>
        </w:rPr>
        <w:t xml:space="preserve">gingival </w:t>
      </w:r>
      <w:r>
        <w:rPr>
          <w:rFonts w:ascii="Times New Roman" w:hAnsi="Times New Roman" w:cs="Times New Roman"/>
          <w:sz w:val="24"/>
        </w:rPr>
        <w:t xml:space="preserve"> cekat  ini  terdapat  bintik-bintik  atau lekukan  kecil  seperti  lesung  pipi  yang  disebut  </w:t>
      </w:r>
      <w:r>
        <w:rPr>
          <w:rFonts w:ascii="Times New Roman" w:hAnsi="Times New Roman" w:cs="Times New Roman"/>
          <w:i/>
          <w:sz w:val="24"/>
        </w:rPr>
        <w:t>stipling</w:t>
      </w:r>
      <w:r>
        <w:rPr>
          <w:rFonts w:ascii="Times New Roman" w:hAnsi="Times New Roman" w:cs="Times New Roman"/>
          <w:sz w:val="24"/>
        </w:rPr>
        <w:t xml:space="preserve">. </w:t>
      </w:r>
      <w:r>
        <w:rPr>
          <w:rFonts w:ascii="Times New Roman" w:hAnsi="Times New Roman" w:cs="Times New Roman"/>
          <w:i/>
          <w:sz w:val="24"/>
        </w:rPr>
        <w:t>Stipling</w:t>
      </w:r>
      <w:r>
        <w:rPr>
          <w:rFonts w:ascii="Times New Roman" w:hAnsi="Times New Roman" w:cs="Times New Roman"/>
          <w:sz w:val="24"/>
        </w:rPr>
        <w:t xml:space="preserve"> ini  .</w:t>
      </w:r>
      <w:r>
        <w:t xml:space="preserve"> </w:t>
      </w:r>
      <w:r>
        <w:rPr>
          <w:rFonts w:ascii="Times New Roman" w:hAnsi="Times New Roman" w:cs="Times New Roman"/>
          <w:sz w:val="24"/>
        </w:rPr>
        <w:t xml:space="preserve">mengakibatkan  permukaan  gingival  cekat  terlihat  seperti kulit  jeruk.  </w:t>
      </w:r>
      <w:r>
        <w:rPr>
          <w:rFonts w:ascii="Times New Roman" w:hAnsi="Times New Roman" w:cs="Times New Roman"/>
          <w:i/>
          <w:sz w:val="24"/>
        </w:rPr>
        <w:t>Stipling</w:t>
      </w:r>
      <w:r>
        <w:rPr>
          <w:rFonts w:ascii="Times New Roman" w:hAnsi="Times New Roman" w:cs="Times New Roman"/>
          <w:sz w:val="24"/>
        </w:rPr>
        <w:t xml:space="preserve">  disebabkan  oleh  adanya  tarikan  serat-serat kolagen pada jaringan gingival cekat ke sementum atau tulang</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Fungsi  dari  </w:t>
      </w:r>
      <w:r>
        <w:rPr>
          <w:rFonts w:ascii="Times New Roman" w:hAnsi="Times New Roman" w:cs="Times New Roman"/>
          <w:i/>
          <w:sz w:val="24"/>
        </w:rPr>
        <w:t>gingival</w:t>
      </w:r>
      <w:r>
        <w:rPr>
          <w:rFonts w:ascii="Times New Roman" w:hAnsi="Times New Roman" w:cs="Times New Roman"/>
          <w:sz w:val="24"/>
        </w:rPr>
        <w:t xml:space="preserve">  cekat  adalah  menahan  jika  ada tekanan mekanik yang terjadi selama pengunyahan, bicara, dan sikat gigi. Selain itu, juga berfungsi melindungi lepasnya </w:t>
      </w:r>
      <w:r>
        <w:rPr>
          <w:rFonts w:ascii="Times New Roman" w:hAnsi="Times New Roman" w:cs="Times New Roman"/>
          <w:i/>
          <w:sz w:val="24"/>
        </w:rPr>
        <w:t>gingival</w:t>
      </w:r>
      <w:r>
        <w:rPr>
          <w:rFonts w:ascii="Times New Roman" w:hAnsi="Times New Roman" w:cs="Times New Roman"/>
          <w:sz w:val="24"/>
        </w:rPr>
        <w:t xml:space="preserve">  bebas  pada  saat  ada  tekanan  yang  menuju  ke  mukosa alveolar.</w:t>
      </w:r>
    </w:p>
    <w:p w:rsidR="00BF2BB0" w:rsidRDefault="00BF2BB0" w:rsidP="00BF2BB0">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Gambaran klinis gingiva normal</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Gambaran  klinis  gingival  dipakai  sebagai  dasar  untuk mengetahui  perubahan patologis yang  terjadi  pada gingival yang  berdampak  suatu  penyakit.  Batas pada  gambaran  klinis </w:t>
      </w:r>
      <w:r>
        <w:rPr>
          <w:rFonts w:ascii="Times New Roman" w:hAnsi="Times New Roman" w:cs="Times New Roman"/>
          <w:sz w:val="24"/>
        </w:rPr>
        <w:lastRenderedPageBreak/>
        <w:t>gingiva normal ini tidak mempunyai patokan yang jelas, karena gambaran klinis gingival normal tersebut sangat bervariasi dari individu yang satu ke individu yang lain.</w:t>
      </w:r>
    </w:p>
    <w:p w:rsidR="00BF2BB0" w:rsidRDefault="00BF2BB0" w:rsidP="00BF2BB0">
      <w:pPr>
        <w:pStyle w:val="ListParagraph"/>
        <w:numPr>
          <w:ilvl w:val="0"/>
          <w:numId w:val="3"/>
        </w:numPr>
        <w:spacing w:line="480" w:lineRule="auto"/>
        <w:jc w:val="both"/>
        <w:rPr>
          <w:rFonts w:ascii="Times New Roman" w:hAnsi="Times New Roman" w:cs="Times New Roman"/>
          <w:sz w:val="24"/>
        </w:rPr>
      </w:pPr>
      <w:r>
        <w:rPr>
          <w:rFonts w:ascii="Times New Roman" w:hAnsi="Times New Roman" w:cs="Times New Roman"/>
          <w:sz w:val="24"/>
        </w:rPr>
        <w:t>Warna Gingiva</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Warna  gingiva  normal  umumnya  merah  jambu  (coral pink). Hal ini disebabkan oleh adanya pasokan darah, tebal dan derajat lapisan keratin epitelium serta sel-sel pigmen. Warna ini bervariasi  untuk  setiap  orang  dan  erat  hubungannya  dengan pigmentasi kutaneous. Pigmentasi pada gingiva biasanya terjadi  pada  individu  berkulit  gelap.  Pigmentasi  pada  gingiva cekat  berkisar  dari  cokelat  sampai  hitam.  Warna  pigmentasi pada  mukosa  alveolar  lebih  merah,  karena  mukosa  alveolar tidak mempunyai lapisan keratin dan epielnya tipis.</w:t>
      </w: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Sementum</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Sementum  merupakan  suatu  lapisan  jaringan  klasifikasi yang  tipis  dan  menutupi  permukaan  akar  gigi.  Sementum  ini berbatasan dengan dentin dan email, juga ligamentum periodontal. Strukturnya  mempunyai banyak persamaan dengan struktur tulang. Sementum  merupakan  jaringan  mesenkimal  yang  tidak mengandung pembuluh darah maupun saraf dan mengalami klasifikasi serta menutupi permukaan akar gigi anatomis. Selain melapisi akar gigi, sementum juga berperan didalam mengikatkan  gigi  ke  tulang  alveolar,  yaitu  dengan  adanya  serat utama ligamentom periodontal yang tertanam didalam sementum  (Serat  Sharpey).  Sementum  ini  tipis  pada  daerah dekat  perbatasannya  dengan  email  dan  makin  menebal  kearah apeks gigi.</w:t>
      </w:r>
    </w:p>
    <w:p w:rsidR="00BF2BB0" w:rsidRDefault="00BF2BB0" w:rsidP="00BF2BB0">
      <w:pPr>
        <w:spacing w:line="480" w:lineRule="auto"/>
        <w:ind w:firstLine="360"/>
        <w:jc w:val="both"/>
        <w:rPr>
          <w:rFonts w:ascii="Times New Roman" w:hAnsi="Times New Roman" w:cs="Times New Roman"/>
          <w:sz w:val="24"/>
        </w:rPr>
      </w:pPr>
      <w:r>
        <w:rPr>
          <w:rFonts w:ascii="Times New Roman" w:hAnsi="Times New Roman" w:cs="Times New Roman"/>
          <w:sz w:val="24"/>
        </w:rPr>
        <w:t xml:space="preserve">Fungsi sementum </w:t>
      </w:r>
      <w:r>
        <w:rPr>
          <w:rFonts w:ascii="Times New Roman" w:hAnsi="Times New Roman" w:cs="Times New Roman"/>
          <w:sz w:val="24"/>
          <w:lang w:val="id-ID"/>
        </w:rPr>
        <w:tab/>
        <w:t xml:space="preserve">adalah </w:t>
      </w:r>
      <w:r>
        <w:rPr>
          <w:rFonts w:ascii="Times New Roman" w:hAnsi="Times New Roman" w:cs="Times New Roman"/>
          <w:sz w:val="24"/>
        </w:rPr>
        <w:t xml:space="preserve"> : </w:t>
      </w:r>
    </w:p>
    <w:p w:rsidR="00BF2BB0" w:rsidRDefault="00BF2BB0" w:rsidP="00BF2BB0">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lastRenderedPageBreak/>
        <w:t>Melekatkan jaringan penyangga gigi pada gigi.</w:t>
      </w:r>
    </w:p>
    <w:p w:rsidR="00BF2BB0" w:rsidRDefault="00BF2BB0" w:rsidP="00BF2BB0">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 xml:space="preserve">Memungkinkan  erupsi  (timbulnya)  gigi ke  atas  dan  gerakan  ke </w:t>
      </w:r>
    </w:p>
    <w:p w:rsidR="00BF2BB0" w:rsidRDefault="00BF2BB0" w:rsidP="00BF2BB0">
      <w:pPr>
        <w:pStyle w:val="ListParagraph"/>
        <w:spacing w:line="480" w:lineRule="auto"/>
        <w:jc w:val="both"/>
        <w:rPr>
          <w:rFonts w:ascii="Times New Roman" w:hAnsi="Times New Roman" w:cs="Times New Roman"/>
          <w:sz w:val="24"/>
        </w:rPr>
      </w:pPr>
      <w:r>
        <w:rPr>
          <w:rFonts w:ascii="Times New Roman" w:hAnsi="Times New Roman" w:cs="Times New Roman"/>
          <w:sz w:val="24"/>
        </w:rPr>
        <w:t>depan/tengah dengan jalan penambahan yang terus menerus.</w:t>
      </w:r>
    </w:p>
    <w:p w:rsidR="00BF2BB0" w:rsidRDefault="00BF2BB0" w:rsidP="00BF2BB0">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Memperbaiki akar bila terjadi keretakan mendatar.</w:t>
      </w:r>
    </w:p>
    <w:p w:rsidR="00BF2BB0" w:rsidRDefault="00BF2BB0" w:rsidP="00BF2BB0">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Mengatur bersama tulang alveolus, lebarnya jaringan pendukung gigi.</w:t>
      </w:r>
    </w:p>
    <w:p w:rsidR="00BF2BB0" w:rsidRDefault="00BF2BB0" w:rsidP="00BF2BB0">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Melindungi dentin.</w:t>
      </w:r>
    </w:p>
    <w:p w:rsidR="00BF2BB0" w:rsidRDefault="00BF2BB0" w:rsidP="00BF2BB0">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Mempengaruhi  beberapa  keadaan  pada  pembentukan  tulang alveolus.</w:t>
      </w:r>
    </w:p>
    <w:p w:rsidR="00BF2BB0" w:rsidRDefault="00BF2BB0" w:rsidP="00BF2BB0">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Ligamentum Periodontal</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Ligamentum  periodontal  merupakan  jaringan  pengikat  yang mengisi ruangan antara permukaan gigi dengan dinding soket, mengelilingi  akar  gigi  bagian  koronal  dan  turut  serta  mendukung gingival. Kebanyakan penyakit yang mengenai ligamentum periodontal, jika  tidak  dilakukan  perawatan  dengan  baik  akhirnya akan menyebabkan hilangnya gigi</w:t>
      </w:r>
    </w:p>
    <w:p w:rsidR="00BF2BB0" w:rsidRDefault="00BF2BB0" w:rsidP="00BF2BB0">
      <w:pPr>
        <w:spacing w:line="480" w:lineRule="auto"/>
        <w:ind w:left="360" w:firstLine="360"/>
        <w:jc w:val="both"/>
        <w:rPr>
          <w:rFonts w:ascii="Times New Roman" w:hAnsi="Times New Roman" w:cs="Times New Roman"/>
          <w:sz w:val="24"/>
        </w:rPr>
      </w:pPr>
      <w:r>
        <w:t xml:space="preserve"> </w:t>
      </w:r>
      <w:r>
        <w:rPr>
          <w:rFonts w:ascii="Times New Roman" w:hAnsi="Times New Roman" w:cs="Times New Roman"/>
          <w:sz w:val="24"/>
        </w:rPr>
        <w:t>Ligamentum ini bersambung dengan jaringan ikat gingiva dan berhubungan dengan ruang meduler melalui kanal vaskular di proprium alveolar. Dengan demikian, fungsi ligamen periodontal adalah untuk menopang gigi, mempertahankan hubungan fisiologis antara semen dan tulang sebagai pemasok nutrisi, fungsi pembentuk atau pembentuk, dan fungsi sensorik.</w:t>
      </w:r>
    </w:p>
    <w:p w:rsidR="00BF2BB0" w:rsidRDefault="00BF2BB0" w:rsidP="00BF2BB0">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Tulang alveolar</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Tulang alveolar merupakan bagian maksila dan mandibula yang membentuk dan mendukung soket gigi. Secara anatomis tidak ada batas  yang jelas antara tulang alveolar dengan maksila maupun mandibula. Bagian tulang  alveolar  yang membentuk dinding soket gigi  disebut  alveolar  proprium.  Alveolar  proprium  ini  di  dukung oleh  bagian  tulang  </w:t>
      </w:r>
      <w:r>
        <w:rPr>
          <w:rFonts w:ascii="Times New Roman" w:hAnsi="Times New Roman" w:cs="Times New Roman"/>
          <w:sz w:val="24"/>
        </w:rPr>
        <w:lastRenderedPageBreak/>
        <w:t>alveolar  lainnya  yang  dikenal  dengan  nama tulang alveolar pendukung. Tulang alveolar membentuk soket yang mendukung dan melindungi akar gigi.</w:t>
      </w:r>
    </w:p>
    <w:p w:rsidR="00BF2BB0" w:rsidRDefault="00BF2BB0" w:rsidP="00BF2BB0">
      <w:pPr>
        <w:pStyle w:val="Heading3"/>
        <w:numPr>
          <w:ilvl w:val="0"/>
          <w:numId w:val="14"/>
        </w:numPr>
      </w:pPr>
      <w:bookmarkStart w:id="42" w:name="_Toc90275202"/>
      <w:bookmarkStart w:id="43" w:name="_Toc90334424"/>
      <w:bookmarkStart w:id="44" w:name="_Toc90633147"/>
      <w:bookmarkStart w:id="45" w:name="_Toc90634047"/>
      <w:bookmarkStart w:id="46" w:name="_Toc90734462"/>
      <w:bookmarkStart w:id="47" w:name="_Toc90735116"/>
      <w:bookmarkStart w:id="48" w:name="_Toc94015945"/>
      <w:bookmarkStart w:id="49" w:name="_Toc94016206"/>
      <w:bookmarkStart w:id="50" w:name="_Toc95743751"/>
      <w:bookmarkStart w:id="51" w:name="_Toc102060774"/>
      <w:r>
        <w:t>Periodontitis</w:t>
      </w:r>
      <w:bookmarkEnd w:id="42"/>
      <w:bookmarkEnd w:id="43"/>
      <w:bookmarkEnd w:id="44"/>
      <w:bookmarkEnd w:id="45"/>
      <w:bookmarkEnd w:id="46"/>
      <w:bookmarkEnd w:id="47"/>
      <w:bookmarkEnd w:id="48"/>
      <w:bookmarkEnd w:id="49"/>
      <w:bookmarkEnd w:id="50"/>
      <w:bookmarkEnd w:id="51"/>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Periodontitis  adalah  suatu  inflamasi  kronis  pada  jaringan  pendukung  gigi (periodontium). Dapat juga  ditemukan  gingiva  yang  kemerahan  dan  bengkak  dan  biasanya  tidak terdapat rasa sakit. Tanda klinis yang membedakan periodontitis dengan gingivitis  adalah  adanya  attachment  loss  (hilangnya  perlekatan).  Kehilangan perlekatan ini  seringkali  dihubungkan  dengan  pembentukan  poket  periodontal dan  berkurangnya  kepadatan  serta  ketinggian  dari  tulang  alveolar  dibawahnya (Newman, dkk., 2012).</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Periodontitis berdasarkan gejala klinis gambaran radiografis diklasifikasikan menjadi periodontitis kronis dan periodontitis agresif. Periodontitis kronis merupakan penyakit yang secara progresif berjalan lambat. Penyakit ini disebabkan oleh faktor lokal dan sistemik. Walaupun periodontitis kronis  merupakan  penyakit  yang  paling  sering  diamati  pada  orang  dewasa, periodontitis  kronis  dapat  terjadi  pada  anak-anak  dan  remaja  sebagai  respon terhadap akumulasi plak dan kalkulus secara kronis (Newman, dkk., 2012).</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Prevalensi  periodontitis  di  Asia  dan  Afrika  lebih  tinggi  daripada  Eropa,  pada masyarakat Amerika mencapai 35% pada usia 35  tahun, di Cina pada kelompok umur 35-44  tahun  sebesar 58%, dan di Kanada 56% pada  usia  35-44   tahun    menderita    periodontitis.  Penyakit    periodontal  merupakan  masalah  kesehatan    gigi    dan  mulut    yang  memiliki    prevalensi    cukup    tinggi  di Indonesia, data menunjukkan penyakit periodontal di Indonesia mencapai  60%.  Penderita  penyakit  periodontitis  di  Indonesia  berada  pada  kisaran  usia 35-45  (Depkes Republik Indonesia, 2011 ; Taize, 2006).</w:t>
      </w: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671A2C3D" wp14:editId="72201CFD">
            <wp:extent cx="2457450" cy="1637060"/>
            <wp:effectExtent l="0" t="0" r="0" b="1270"/>
            <wp:docPr id="10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9" cstate="print"/>
                    <a:srcRect/>
                    <a:stretch/>
                  </pic:blipFill>
                  <pic:spPr>
                    <a:xfrm>
                      <a:off x="0" y="0"/>
                      <a:ext cx="2457450" cy="1637060"/>
                    </a:xfrm>
                    <a:prstGeom prst="rect">
                      <a:avLst/>
                    </a:prstGeom>
                  </pic:spPr>
                </pic:pic>
              </a:graphicData>
            </a:graphic>
          </wp:inline>
        </w:drawing>
      </w:r>
    </w:p>
    <w:p w:rsidR="00BF2BB0" w:rsidRDefault="00BF2BB0" w:rsidP="00BF2BB0">
      <w:pPr>
        <w:spacing w:line="240" w:lineRule="auto"/>
        <w:jc w:val="center"/>
        <w:rPr>
          <w:rFonts w:ascii="Times New Roman" w:hAnsi="Times New Roman" w:cs="Times New Roman"/>
          <w:b/>
          <w:sz w:val="24"/>
        </w:rPr>
      </w:pPr>
      <w:r>
        <w:rPr>
          <w:rFonts w:ascii="Times New Roman" w:hAnsi="Times New Roman" w:cs="Times New Roman"/>
          <w:b/>
          <w:sz w:val="24"/>
        </w:rPr>
        <w:t>Gambar 2.3 Periodontitis</w:t>
      </w:r>
    </w:p>
    <w:p w:rsidR="00BF2BB0" w:rsidRDefault="00BF2BB0" w:rsidP="00BF2BB0">
      <w:pPr>
        <w:spacing w:line="240" w:lineRule="auto"/>
        <w:jc w:val="center"/>
        <w:rPr>
          <w:rFonts w:ascii="Times New Roman" w:hAnsi="Times New Roman" w:cs="Times New Roman"/>
          <w:b/>
        </w:rPr>
      </w:pPr>
      <w:r>
        <w:rPr>
          <w:rFonts w:ascii="Times New Roman" w:hAnsi="Times New Roman" w:cs="Times New Roman"/>
          <w:b/>
        </w:rPr>
        <w:t xml:space="preserve">Sumber : </w:t>
      </w:r>
      <w:hyperlink r:id="rId10" w:history="1">
        <w:r>
          <w:rPr>
            <w:rStyle w:val="Hyperlink"/>
            <w:rFonts w:ascii="Times New Roman" w:hAnsi="Times New Roman" w:cs="Times New Roman"/>
            <w:b/>
          </w:rPr>
          <w:t>https://www.alomedika.com/penyakit/kesehatan-gigi-dan-mulut/periodontitis</w:t>
        </w:r>
      </w:hyperlink>
      <w:r>
        <w:rPr>
          <w:rFonts w:ascii="Times New Roman" w:hAnsi="Times New Roman" w:cs="Times New Roman"/>
          <w:b/>
        </w:rPr>
        <w:t xml:space="preserve"> , diakses pada selasa 16 November 2021</w:t>
      </w:r>
    </w:p>
    <w:p w:rsidR="00BF2BB0" w:rsidRDefault="00BF2BB0" w:rsidP="00BF2BB0">
      <w:pPr>
        <w:spacing w:line="240" w:lineRule="auto"/>
        <w:jc w:val="center"/>
        <w:rPr>
          <w:rFonts w:ascii="Times New Roman" w:hAnsi="Times New Roman" w:cs="Times New Roman"/>
          <w:b/>
        </w:rPr>
      </w:pPr>
    </w:p>
    <w:p w:rsidR="00BF2BB0" w:rsidRDefault="00BF2BB0" w:rsidP="00BF2BB0">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Periodontitis Kronis</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Periodontitis kronis merupakan penyakit yang secara progresif berjalan lambat.  Penyakit  ini  disebabkan  oleh  faktor  lokal  dan  sistemik.  Meskipun periodontitis kronis adalah penyakit yang paling umum pada orang dewasa, periodontitis kronis dapat terjadi pada anak-anak dan remaja sebagai respons terhadap akumulasi kronis plak dan kalkulus. (Newman, dkk., 2012)</w:t>
      </w:r>
    </w:p>
    <w:p w:rsidR="00BF2BB0" w:rsidRDefault="00BF2BB0" w:rsidP="00BF2BB0">
      <w:pPr>
        <w:spacing w:line="480" w:lineRule="auto"/>
        <w:ind w:left="360" w:firstLine="360"/>
        <w:jc w:val="center"/>
        <w:rPr>
          <w:rFonts w:ascii="Times New Roman" w:hAnsi="Times New Roman" w:cs="Times New Roman"/>
          <w:sz w:val="24"/>
        </w:rPr>
      </w:pPr>
      <w:r>
        <w:rPr>
          <w:rFonts w:ascii="Times New Roman" w:hAnsi="Times New Roman" w:cs="Times New Roman"/>
          <w:noProof/>
          <w:sz w:val="24"/>
        </w:rPr>
        <w:drawing>
          <wp:inline distT="0" distB="0" distL="0" distR="0" wp14:anchorId="55050747" wp14:editId="3CF501E4">
            <wp:extent cx="2543175" cy="1401684"/>
            <wp:effectExtent l="0" t="0" r="0" b="8255"/>
            <wp:docPr id="1030"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6"/>
                    <pic:cNvPicPr/>
                  </pic:nvPicPr>
                  <pic:blipFill>
                    <a:blip r:embed="rId11" cstate="print"/>
                    <a:srcRect/>
                    <a:stretch/>
                  </pic:blipFill>
                  <pic:spPr>
                    <a:xfrm>
                      <a:off x="0" y="0"/>
                      <a:ext cx="2543175" cy="1401684"/>
                    </a:xfrm>
                    <a:prstGeom prst="rect">
                      <a:avLst/>
                    </a:prstGeom>
                  </pic:spPr>
                </pic:pic>
              </a:graphicData>
            </a:graphic>
          </wp:inline>
        </w:drawing>
      </w:r>
    </w:p>
    <w:p w:rsidR="00BF2BB0" w:rsidRDefault="00BF2BB0" w:rsidP="00BF2BB0">
      <w:pPr>
        <w:spacing w:line="240" w:lineRule="auto"/>
        <w:jc w:val="center"/>
        <w:rPr>
          <w:rFonts w:ascii="Times New Roman" w:hAnsi="Times New Roman" w:cs="Times New Roman"/>
          <w:b/>
          <w:sz w:val="24"/>
        </w:rPr>
      </w:pPr>
      <w:r>
        <w:rPr>
          <w:rFonts w:ascii="Times New Roman" w:hAnsi="Times New Roman" w:cs="Times New Roman"/>
          <w:b/>
          <w:sz w:val="24"/>
        </w:rPr>
        <w:t>Gambar 2.4 Periodontitis Kronis</w:t>
      </w:r>
    </w:p>
    <w:p w:rsidR="00BF2BB0" w:rsidRDefault="00BF2BB0" w:rsidP="00BF2BB0">
      <w:pPr>
        <w:spacing w:line="240" w:lineRule="auto"/>
        <w:jc w:val="center"/>
        <w:rPr>
          <w:rFonts w:ascii="Times New Roman" w:hAnsi="Times New Roman" w:cs="Times New Roman"/>
          <w:b/>
        </w:rPr>
      </w:pPr>
      <w:r>
        <w:rPr>
          <w:rFonts w:ascii="Times New Roman" w:hAnsi="Times New Roman" w:cs="Times New Roman"/>
          <w:b/>
        </w:rPr>
        <w:lastRenderedPageBreak/>
        <w:t xml:space="preserve">Sumber : </w:t>
      </w:r>
      <w:hyperlink r:id="rId12" w:history="1">
        <w:r>
          <w:rPr>
            <w:rStyle w:val="Hyperlink"/>
            <w:rFonts w:ascii="Times New Roman" w:hAnsi="Times New Roman" w:cs="Times New Roman"/>
            <w:b/>
          </w:rPr>
          <w:t>https://journal.umy.ac.id/index.php/di/article/download/6997/pdf_34</w:t>
        </w:r>
      </w:hyperlink>
      <w:r>
        <w:rPr>
          <w:rFonts w:ascii="Times New Roman" w:hAnsi="Times New Roman" w:cs="Times New Roman"/>
          <w:b/>
        </w:rPr>
        <w:t xml:space="preserve"> , diakses pada senin 29 November 2021</w:t>
      </w:r>
    </w:p>
    <w:p w:rsidR="00BF2BB0" w:rsidRDefault="00BF2BB0" w:rsidP="00BF2BB0">
      <w:pPr>
        <w:spacing w:line="240" w:lineRule="auto"/>
        <w:jc w:val="center"/>
        <w:rPr>
          <w:rFonts w:ascii="Times New Roman" w:hAnsi="Times New Roman" w:cs="Times New Roman"/>
          <w:b/>
        </w:rPr>
      </w:pPr>
    </w:p>
    <w:p w:rsidR="00BF2BB0" w:rsidRDefault="00BF2BB0" w:rsidP="00BF2BB0">
      <w:pPr>
        <w:spacing w:line="240" w:lineRule="auto"/>
        <w:rPr>
          <w:rFonts w:ascii="Times New Roman" w:hAnsi="Times New Roman" w:cs="Times New Roman"/>
          <w:b/>
        </w:rPr>
      </w:pPr>
    </w:p>
    <w:p w:rsidR="00BF2BB0" w:rsidRDefault="00BF2BB0" w:rsidP="00BF2BB0">
      <w:pPr>
        <w:spacing w:line="240" w:lineRule="auto"/>
        <w:rPr>
          <w:rFonts w:ascii="Times New Roman" w:hAnsi="Times New Roman" w:cs="Times New Roman"/>
          <w:b/>
        </w:rPr>
      </w:pPr>
    </w:p>
    <w:p w:rsidR="00BF2BB0" w:rsidRDefault="00BF2BB0" w:rsidP="00BF2BB0">
      <w:pPr>
        <w:spacing w:line="240" w:lineRule="auto"/>
        <w:rPr>
          <w:rFonts w:ascii="Times New Roman" w:hAnsi="Times New Roman" w:cs="Times New Roman"/>
          <w:b/>
        </w:rPr>
      </w:pPr>
    </w:p>
    <w:p w:rsidR="00BF2BB0" w:rsidRDefault="00BF2BB0" w:rsidP="00BF2BB0">
      <w:pPr>
        <w:pStyle w:val="ListParagraph"/>
        <w:numPr>
          <w:ilvl w:val="0"/>
          <w:numId w:val="6"/>
        </w:numPr>
        <w:spacing w:line="480" w:lineRule="auto"/>
        <w:jc w:val="both"/>
        <w:rPr>
          <w:rFonts w:ascii="Times New Roman" w:hAnsi="Times New Roman" w:cs="Times New Roman"/>
          <w:sz w:val="24"/>
        </w:rPr>
      </w:pPr>
      <w:r>
        <w:rPr>
          <w:rFonts w:ascii="Times New Roman" w:hAnsi="Times New Roman" w:cs="Times New Roman"/>
          <w:sz w:val="24"/>
        </w:rPr>
        <w:t>Periodontitis Agresif</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Periodontitis  agresif  merupakan  salah  satu  tipe  penyakit  periodontitis yang  ditandai  dengan  hilangnya  perlekatan  jaringan  ikat  dan  kerusakan tulang alveolar secara cepat pada lebih  dari  satu  gigi  permanen,  dengan  tidak  adanya  akumulasi  plak  dan  kalkulus (YingGu dan Ryan, 2010  ;  Cortelli,  dkk.,  2012).</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Periodontitis agresif juga disebut periodontitis early-onset. Periodontitis agresif  biasanya menyerang orang sehat di bawah 30 tahun. Periodontitis agresif berbeda dari  periodontitis  kronis  pada  usia  serangan,  kecepatan  progresi  penyakit, sifat, dan komposisi mikroflora subgingiva yang menyertai, perubahan dalam respon imun host, serta agregasi familial penderita (</w:t>
      </w:r>
      <w:r>
        <w:rPr>
          <w:rFonts w:ascii="Times New Roman" w:hAnsi="Times New Roman" w:cs="Times New Roman"/>
          <w:sz w:val="24"/>
          <w:lang w:val="id-ID"/>
        </w:rPr>
        <w:t>Dewi Saputri, dkk,. 2015</w:t>
      </w:r>
      <w:r>
        <w:rPr>
          <w:rFonts w:ascii="Times New Roman" w:hAnsi="Times New Roman" w:cs="Times New Roman"/>
          <w:sz w:val="24"/>
        </w:rPr>
        <w:t>).</w:t>
      </w: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spacing w:line="480" w:lineRule="auto"/>
        <w:ind w:left="360" w:firstLine="360"/>
        <w:jc w:val="center"/>
        <w:rPr>
          <w:rFonts w:ascii="Times New Roman" w:hAnsi="Times New Roman" w:cs="Times New Roman"/>
          <w:sz w:val="24"/>
        </w:rPr>
      </w:pPr>
      <w:r>
        <w:rPr>
          <w:rFonts w:ascii="Times New Roman" w:hAnsi="Times New Roman" w:cs="Times New Roman"/>
          <w:noProof/>
          <w:sz w:val="24"/>
        </w:rPr>
        <w:drawing>
          <wp:inline distT="0" distB="0" distL="0" distR="0" wp14:anchorId="1E564C2A" wp14:editId="6FB4B3E8">
            <wp:extent cx="2257425" cy="1562058"/>
            <wp:effectExtent l="0" t="0" r="0" b="635"/>
            <wp:docPr id="103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2"/>
                    <pic:cNvPicPr/>
                  </pic:nvPicPr>
                  <pic:blipFill>
                    <a:blip r:embed="rId13" cstate="print"/>
                    <a:srcRect/>
                    <a:stretch/>
                  </pic:blipFill>
                  <pic:spPr>
                    <a:xfrm>
                      <a:off x="0" y="0"/>
                      <a:ext cx="2257425" cy="1562058"/>
                    </a:xfrm>
                    <a:prstGeom prst="rect">
                      <a:avLst/>
                    </a:prstGeom>
                  </pic:spPr>
                </pic:pic>
              </a:graphicData>
            </a:graphic>
          </wp:inline>
        </w:drawing>
      </w:r>
    </w:p>
    <w:p w:rsidR="00BF2BB0" w:rsidRDefault="00BF2BB0" w:rsidP="00BF2BB0">
      <w:pPr>
        <w:spacing w:line="240" w:lineRule="auto"/>
        <w:ind w:left="360" w:firstLine="360"/>
        <w:jc w:val="center"/>
        <w:rPr>
          <w:rFonts w:ascii="Times New Roman" w:hAnsi="Times New Roman" w:cs="Times New Roman"/>
          <w:b/>
          <w:sz w:val="24"/>
        </w:rPr>
      </w:pPr>
      <w:r>
        <w:rPr>
          <w:rFonts w:ascii="Times New Roman" w:hAnsi="Times New Roman" w:cs="Times New Roman"/>
          <w:b/>
          <w:sz w:val="24"/>
        </w:rPr>
        <w:t>Gambar 2.5 Periodontitis Agresif</w:t>
      </w:r>
    </w:p>
    <w:p w:rsidR="00BF2BB0" w:rsidRDefault="00BF2BB0" w:rsidP="00BF2BB0">
      <w:pPr>
        <w:spacing w:line="240" w:lineRule="auto"/>
        <w:ind w:left="720"/>
        <w:jc w:val="center"/>
        <w:rPr>
          <w:rFonts w:ascii="Times New Roman" w:hAnsi="Times New Roman" w:cs="Times New Roman"/>
          <w:b/>
        </w:rPr>
      </w:pPr>
      <w:r>
        <w:rPr>
          <w:rFonts w:ascii="Times New Roman" w:hAnsi="Times New Roman" w:cs="Times New Roman"/>
          <w:b/>
        </w:rPr>
        <w:t xml:space="preserve">Sumber : </w:t>
      </w:r>
      <w:hyperlink r:id="rId14" w:history="1">
        <w:r>
          <w:rPr>
            <w:rStyle w:val="Hyperlink"/>
            <w:rFonts w:ascii="Times New Roman" w:hAnsi="Times New Roman" w:cs="Times New Roman"/>
            <w:b/>
          </w:rPr>
          <w:t>https://irmadamasurya.wordpress.com/category/periodontology/</w:t>
        </w:r>
      </w:hyperlink>
      <w:r>
        <w:rPr>
          <w:rFonts w:ascii="Times New Roman" w:hAnsi="Times New Roman" w:cs="Times New Roman"/>
          <w:b/>
        </w:rPr>
        <w:t xml:space="preserve"> diakses pada senin 29 November 2021</w:t>
      </w:r>
    </w:p>
    <w:p w:rsidR="00BF2BB0" w:rsidRDefault="00BF2BB0" w:rsidP="00BF2BB0">
      <w:pPr>
        <w:spacing w:line="240" w:lineRule="auto"/>
        <w:rPr>
          <w:rFonts w:ascii="Times New Roman" w:hAnsi="Times New Roman" w:cs="Times New Roman"/>
        </w:rPr>
      </w:pPr>
    </w:p>
    <w:p w:rsidR="00BF2BB0" w:rsidRDefault="00BF2BB0" w:rsidP="00BF2BB0">
      <w:pPr>
        <w:spacing w:line="240" w:lineRule="auto"/>
        <w:rPr>
          <w:rFonts w:ascii="Times New Roman" w:hAnsi="Times New Roman" w:cs="Times New Roman"/>
        </w:rPr>
      </w:pPr>
    </w:p>
    <w:p w:rsidR="00BF2BB0" w:rsidRDefault="00BF2BB0" w:rsidP="00BF2BB0">
      <w:pPr>
        <w:spacing w:line="240" w:lineRule="auto"/>
        <w:rPr>
          <w:rFonts w:ascii="Times New Roman" w:hAnsi="Times New Roman" w:cs="Times New Roman"/>
        </w:rPr>
      </w:pPr>
    </w:p>
    <w:p w:rsidR="00BF2BB0" w:rsidRDefault="00BF2BB0" w:rsidP="00BF2BB0">
      <w:pPr>
        <w:spacing w:line="240" w:lineRule="auto"/>
        <w:rPr>
          <w:rFonts w:ascii="Times New Roman" w:hAnsi="Times New Roman" w:cs="Times New Roman"/>
        </w:rPr>
      </w:pPr>
    </w:p>
    <w:p w:rsidR="00BF2BB0" w:rsidRDefault="00BF2BB0" w:rsidP="00BF2BB0">
      <w:pPr>
        <w:pStyle w:val="Heading3"/>
        <w:numPr>
          <w:ilvl w:val="0"/>
          <w:numId w:val="14"/>
        </w:numPr>
      </w:pPr>
      <w:bookmarkStart w:id="52" w:name="_Toc90275203"/>
      <w:bookmarkStart w:id="53" w:name="_Toc90334425"/>
      <w:bookmarkStart w:id="54" w:name="_Toc90633148"/>
      <w:bookmarkStart w:id="55" w:name="_Toc90634048"/>
      <w:bookmarkStart w:id="56" w:name="_Toc90734463"/>
      <w:bookmarkStart w:id="57" w:name="_Toc90735117"/>
      <w:bookmarkStart w:id="58" w:name="_Toc94015946"/>
      <w:bookmarkStart w:id="59" w:name="_Toc94016207"/>
      <w:bookmarkStart w:id="60" w:name="_Toc95743752"/>
      <w:bookmarkStart w:id="61" w:name="_Toc102060775"/>
      <w:r>
        <w:t>Faktor Penyebab</w:t>
      </w:r>
      <w:bookmarkEnd w:id="52"/>
      <w:bookmarkEnd w:id="53"/>
      <w:bookmarkEnd w:id="54"/>
      <w:bookmarkEnd w:id="55"/>
      <w:bookmarkEnd w:id="56"/>
      <w:bookmarkEnd w:id="57"/>
      <w:bookmarkEnd w:id="58"/>
      <w:bookmarkEnd w:id="59"/>
      <w:bookmarkEnd w:id="60"/>
      <w:bookmarkEnd w:id="61"/>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Penyebab  penyakit  periodontal  multifaktoral  dengan  kesetaraan  dan keterkaitan  erat  antara  faktor  lokal,  pekerjaan  lingkungan,  merokok,  jenis kelamin,  stress  dan  psikososial.  Selain  itu  tingkat  pendidikan  dan  sosial ekonomi yang rendah dapat mengakibatkan kurangnya kesadaran akan pentingnya  kebersihan  rongga  mulut,  sehingga  hal  ini  menjadi  kendala dalam usaha peningkatan kesehatan gigi dan mulut (</w:t>
      </w:r>
      <w:r>
        <w:rPr>
          <w:rFonts w:ascii="Times New Roman" w:hAnsi="Times New Roman" w:cs="Times New Roman"/>
          <w:sz w:val="24"/>
          <w:lang w:val="id-ID"/>
        </w:rPr>
        <w:t>I, Made, dkk,. 2011</w:t>
      </w:r>
      <w:r>
        <w:rPr>
          <w:rFonts w:ascii="Times New Roman" w:hAnsi="Times New Roman" w:cs="Times New Roman"/>
          <w:sz w:val="24"/>
        </w:rPr>
        <w:t>). Faktor utama penyebab penyakit periodontal yaitu :</w:t>
      </w:r>
    </w:p>
    <w:p w:rsidR="00BF2BB0" w:rsidRDefault="00BF2BB0" w:rsidP="00BF2BB0">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t>Plak</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Plak gigi merupakan lapisan lunak yang melekat erat pada permukaan  gigi.faktor  lokal  yang  sering  disebut  sebagai  faktor etiologi  dalam  penyakit  periodontal,  antara  lain  adalah  bakteri  dalam plak,  kalkulus,  materi  alba,  dan  debris  makanan,  di  antara  faktor-faktor  tersebut  yang  terpenting  adalah  plak  gigi.  Semua  faktor  lokal tersebut  diakibatkan  karena  kurangnya  memelihara  kebersihan  gigi dan mulut (</w:t>
      </w:r>
      <w:r>
        <w:rPr>
          <w:rFonts w:ascii="Times New Roman" w:hAnsi="Times New Roman" w:cs="Times New Roman"/>
          <w:sz w:val="24"/>
          <w:lang w:val="id-ID"/>
        </w:rPr>
        <w:t>I, Made, dkk,. 2011</w:t>
      </w:r>
      <w:r>
        <w:rPr>
          <w:rFonts w:ascii="Times New Roman" w:hAnsi="Times New Roman" w:cs="Times New Roman"/>
          <w:sz w:val="24"/>
        </w:rPr>
        <w:t>).</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Gejala  klinis  gingivitis  mulai  terlihat  10-21  hari  setelah  prosedur pembersihan mulut dihentikan. Secara klinis juga terbukti bahwa mulut  yang  berpenyakit  periodontal  selalu  memperlihatkan  adanya penimbunan  plak  yang  jauh  lebih  banyak  dari  mulut  yang  sehat. Penelitian kuantitatif menunjukkan bahwa jumlah plak dalam kalkulus di  dalam  mulut  yang  berpenyakit  periodontal  adalah  kurang  dari  10 kali lebih banyak daripada di dalam mulut yang sehat (Putri, 2012)</w:t>
      </w: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spacing w:line="480" w:lineRule="auto"/>
        <w:ind w:left="360" w:firstLine="360"/>
        <w:jc w:val="center"/>
        <w:rPr>
          <w:rFonts w:ascii="Times New Roman" w:hAnsi="Times New Roman" w:cs="Times New Roman"/>
          <w:sz w:val="24"/>
        </w:rPr>
      </w:pPr>
      <w:r>
        <w:rPr>
          <w:rFonts w:ascii="Times New Roman" w:hAnsi="Times New Roman" w:cs="Times New Roman"/>
          <w:noProof/>
          <w:sz w:val="24"/>
        </w:rPr>
        <w:t>s</w:t>
      </w:r>
      <w:r>
        <w:rPr>
          <w:rFonts w:ascii="Times New Roman" w:hAnsi="Times New Roman" w:cs="Times New Roman"/>
          <w:noProof/>
          <w:sz w:val="24"/>
        </w:rPr>
        <w:drawing>
          <wp:inline distT="0" distB="0" distL="0" distR="0" wp14:anchorId="0266C485" wp14:editId="3B8DD1E5">
            <wp:extent cx="2486025" cy="1806859"/>
            <wp:effectExtent l="0" t="0" r="0" b="3175"/>
            <wp:docPr id="103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15" cstate="print"/>
                    <a:srcRect/>
                    <a:stretch/>
                  </pic:blipFill>
                  <pic:spPr>
                    <a:xfrm>
                      <a:off x="0" y="0"/>
                      <a:ext cx="2486025" cy="1806859"/>
                    </a:xfrm>
                    <a:prstGeom prst="rect">
                      <a:avLst/>
                    </a:prstGeom>
                  </pic:spPr>
                </pic:pic>
              </a:graphicData>
            </a:graphic>
          </wp:inline>
        </w:drawing>
      </w:r>
      <w:r>
        <w:rPr>
          <w:rFonts w:ascii="Times New Roman" w:hAnsi="Times New Roman" w:cs="Times New Roman"/>
          <w:noProof/>
          <w:sz w:val="24"/>
        </w:rPr>
        <mc:AlternateContent>
          <mc:Choice Requires="wps">
            <w:drawing>
              <wp:anchor distT="0" distB="0" distL="0" distR="0" simplePos="0" relativeHeight="251659264" behindDoc="0" locked="0" layoutInCell="1" allowOverlap="1" wp14:anchorId="4ABA2525" wp14:editId="622FDCF3">
                <wp:simplePos x="0" y="0"/>
                <wp:positionH relativeFrom="column">
                  <wp:posOffset>-87630</wp:posOffset>
                </wp:positionH>
                <wp:positionV relativeFrom="paragraph">
                  <wp:posOffset>93202760</wp:posOffset>
                </wp:positionV>
                <wp:extent cx="2019299" cy="952499"/>
                <wp:effectExtent l="0" t="0" r="19050" b="19050"/>
                <wp:wrapNone/>
                <wp:docPr id="10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299" cy="952499"/>
                        </a:xfrm>
                        <a:prstGeom prst="rect">
                          <a:avLst/>
                        </a:prstGeom>
                        <a:solidFill>
                          <a:srgbClr val="FFFFFF"/>
                        </a:solidFill>
                        <a:ln w="12700" cap="flat" cmpd="sng">
                          <a:solidFill>
                            <a:srgbClr val="000000"/>
                          </a:solidFill>
                          <a:prstDash val="solid"/>
                          <a:miter/>
                          <a:headEnd/>
                          <a:tailEnd/>
                        </a:ln>
                      </wps:spPr>
                      <wps:txbx>
                        <w:txbxContent>
                          <w:p w:rsidR="00BF2BB0" w:rsidRDefault="00BF2BB0" w:rsidP="00BF2BB0">
                            <w:pPr>
                              <w:jc w:val="center"/>
                              <w:rPr>
                                <w:rFonts w:ascii="Times New Roman" w:hAnsi="Times New Roman" w:cs="Times New Roman"/>
                              </w:rPr>
                            </w:pPr>
                            <w:r>
                              <w:rPr>
                                <w:rFonts w:ascii="Times New Roman" w:hAnsi="Times New Roman" w:cs="Times New Roman"/>
                              </w:rPr>
                              <w:t>Gambaran Status Kesehatan Periodontal Pada Prajurit TNI AD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A2525" id="Rectangle 9" o:spid="_x0000_s1026" style="position:absolute;left:0;text-align:left;margin-left:-6.9pt;margin-top:7338.8pt;width:159pt;height: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" strokeweight="1pt">
                <v:path arrowok="t"/>
                <v:textbox>
                  <w:txbxContent>
                    <w:p w:rsidR="00BF2BB0" w:rsidRDefault="00BF2BB0" w:rsidP="00BF2BB0">
                      <w:pPr>
                        <w:jc w:val="center"/>
                        <w:rPr>
                          <w:rFonts w:ascii="Times New Roman" w:hAnsi="Times New Roman" w:cs="Times New Roman"/>
                        </w:rPr>
                      </w:pPr>
                      <w:r>
                        <w:rPr>
                          <w:rFonts w:ascii="Times New Roman" w:hAnsi="Times New Roman" w:cs="Times New Roman"/>
                        </w:rPr>
                        <w:t>Gambaran Status Kesehatan Periodontal Pada Prajurit TNI AD</w:t>
                      </w:r>
                    </w:p>
                  </w:txbxContent>
                </v:textbox>
              </v:rect>
            </w:pict>
          </mc:Fallback>
        </mc:AlternateContent>
      </w:r>
    </w:p>
    <w:p w:rsidR="00BF2BB0" w:rsidRDefault="00BF2BB0" w:rsidP="00BF2BB0">
      <w:pPr>
        <w:spacing w:line="240" w:lineRule="auto"/>
        <w:jc w:val="center"/>
        <w:rPr>
          <w:rFonts w:ascii="Times New Roman" w:hAnsi="Times New Roman" w:cs="Times New Roman"/>
          <w:b/>
          <w:sz w:val="24"/>
        </w:rPr>
      </w:pPr>
      <w:r>
        <w:rPr>
          <w:rFonts w:ascii="Times New Roman" w:hAnsi="Times New Roman" w:cs="Times New Roman"/>
          <w:b/>
          <w:sz w:val="24"/>
        </w:rPr>
        <w:t>Gambar 2.6 Plak</w:t>
      </w:r>
    </w:p>
    <w:p w:rsidR="00BF2BB0" w:rsidRDefault="00BF2BB0" w:rsidP="00BF2BB0">
      <w:pPr>
        <w:spacing w:line="240" w:lineRule="auto"/>
        <w:jc w:val="center"/>
        <w:rPr>
          <w:rFonts w:ascii="Times New Roman" w:hAnsi="Times New Roman" w:cs="Times New Roman"/>
          <w:b/>
          <w:color w:val="000000"/>
        </w:rPr>
      </w:pPr>
      <w:r>
        <w:rPr>
          <w:rFonts w:ascii="Times New Roman" w:hAnsi="Times New Roman" w:cs="Times New Roman"/>
          <w:b/>
          <w:color w:val="000000"/>
        </w:rPr>
        <w:t xml:space="preserve">Sumber : </w:t>
      </w:r>
      <w:hyperlink r:id="rId16" w:history="1">
        <w:r>
          <w:rPr>
            <w:rStyle w:val="Hyperlink"/>
            <w:rFonts w:ascii="Times New Roman" w:hAnsi="Times New Roman" w:cs="Times New Roman"/>
            <w:b/>
            <w:color w:val="000000"/>
          </w:rPr>
          <w:t>http://wienkz02.blogspot.com/2011/04/antara-debris-plak-dan-karang-gigi.html</w:t>
        </w:r>
      </w:hyperlink>
      <w:r>
        <w:rPr>
          <w:rFonts w:ascii="Times New Roman" w:hAnsi="Times New Roman" w:cs="Times New Roman"/>
          <w:b/>
          <w:color w:val="000000"/>
        </w:rPr>
        <w:t xml:space="preserve"> , diakses pada senin 29 November 2021</w:t>
      </w:r>
    </w:p>
    <w:p w:rsidR="00BF2BB0" w:rsidRDefault="00BF2BB0" w:rsidP="00BF2BB0">
      <w:pPr>
        <w:pStyle w:val="ListParagraph"/>
        <w:numPr>
          <w:ilvl w:val="0"/>
          <w:numId w:val="7"/>
        </w:numPr>
        <w:spacing w:line="480" w:lineRule="auto"/>
        <w:jc w:val="both"/>
        <w:rPr>
          <w:rFonts w:ascii="Times New Roman" w:hAnsi="Times New Roman" w:cs="Times New Roman"/>
          <w:sz w:val="24"/>
        </w:rPr>
      </w:pPr>
      <w:r>
        <w:rPr>
          <w:rFonts w:ascii="Times New Roman" w:hAnsi="Times New Roman" w:cs="Times New Roman"/>
          <w:sz w:val="24"/>
        </w:rPr>
        <w:t>Kalkulus</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Kalkulus merupakan suatu massa yang mengalami kalsifikasi yang terbentuk dan melekat erat pada permukaan gigi. Kalkulus merupakan plak terkalsifikasi. Jenis kalkulus di klasifikasikan sebagai </w:t>
      </w:r>
      <w:r>
        <w:rPr>
          <w:rFonts w:ascii="Times New Roman" w:hAnsi="Times New Roman" w:cs="Times New Roman"/>
          <w:i/>
          <w:sz w:val="24"/>
        </w:rPr>
        <w:t>supragingiva</w:t>
      </w:r>
      <w:r>
        <w:rPr>
          <w:rFonts w:ascii="Times New Roman" w:hAnsi="Times New Roman" w:cs="Times New Roman"/>
          <w:sz w:val="24"/>
        </w:rPr>
        <w:t xml:space="preserve"> dan  </w:t>
      </w:r>
      <w:r>
        <w:rPr>
          <w:rFonts w:ascii="Times New Roman" w:hAnsi="Times New Roman" w:cs="Times New Roman"/>
          <w:i/>
          <w:sz w:val="24"/>
        </w:rPr>
        <w:t>subgingiva</w:t>
      </w:r>
      <w:r>
        <w:rPr>
          <w:rFonts w:ascii="Times New Roman" w:hAnsi="Times New Roman" w:cs="Times New Roman"/>
          <w:sz w:val="24"/>
        </w:rPr>
        <w:t xml:space="preserve">  berdasarkan  relasinya  dengan  gingival margin  (</w:t>
      </w:r>
      <w:r>
        <w:rPr>
          <w:rFonts w:ascii="Times New Roman" w:hAnsi="Times New Roman" w:cs="Times New Roman"/>
          <w:sz w:val="24"/>
          <w:lang w:val="id-ID"/>
        </w:rPr>
        <w:t>Ruslan, dkk,. 2020</w:t>
      </w:r>
      <w:r>
        <w:rPr>
          <w:rFonts w:ascii="Times New Roman" w:hAnsi="Times New Roman" w:cs="Times New Roman"/>
          <w:sz w:val="24"/>
        </w:rPr>
        <w:t>).</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Kalkulus  </w:t>
      </w:r>
      <w:r>
        <w:rPr>
          <w:rFonts w:ascii="Times New Roman" w:hAnsi="Times New Roman" w:cs="Times New Roman"/>
          <w:i/>
          <w:sz w:val="24"/>
        </w:rPr>
        <w:t>supragingiva</w:t>
      </w:r>
      <w:r>
        <w:rPr>
          <w:rFonts w:ascii="Times New Roman" w:hAnsi="Times New Roman" w:cs="Times New Roman"/>
          <w:sz w:val="24"/>
        </w:rPr>
        <w:t xml:space="preserve">  ialah  kalkulus yang melekat pada permukaan mahkota gigi mulai dari puncak margin gingiva  dan  dapat  dilihat.  Kalkulus  ini  berwarna  putih  kekuning kuningan atau bahkan kecoklat-coklatan. Konsistensi kalkulus ini seperti  batu  tanah  liat  dan  mudah  dilepaskan  dari  permukaan  gigi dengan bantuan </w:t>
      </w:r>
      <w:r>
        <w:rPr>
          <w:rFonts w:ascii="Times New Roman" w:hAnsi="Times New Roman" w:cs="Times New Roman"/>
          <w:i/>
          <w:sz w:val="24"/>
        </w:rPr>
        <w:t>scaler</w:t>
      </w:r>
      <w:r>
        <w:rPr>
          <w:rFonts w:ascii="Times New Roman" w:hAnsi="Times New Roman" w:cs="Times New Roman"/>
          <w:sz w:val="24"/>
        </w:rPr>
        <w:t xml:space="preserve"> (Newman, dkk., 2012).</w:t>
      </w:r>
    </w:p>
    <w:p w:rsidR="00BF2BB0" w:rsidRDefault="00BF2BB0" w:rsidP="00BF2BB0">
      <w:pPr>
        <w:spacing w:line="480" w:lineRule="auto"/>
        <w:ind w:left="360" w:firstLine="360"/>
        <w:jc w:val="both"/>
        <w:rPr>
          <w:rFonts w:ascii="Times New Roman" w:hAnsi="Times New Roman" w:cs="Times New Roman"/>
          <w:sz w:val="24"/>
        </w:rPr>
      </w:pPr>
    </w:p>
    <w:p w:rsidR="00BF2BB0" w:rsidRDefault="00BF2BB0" w:rsidP="00BF2BB0">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13C2E51" wp14:editId="5CC9C3AC">
            <wp:extent cx="2562225" cy="1364302"/>
            <wp:effectExtent l="0" t="0" r="0" b="7620"/>
            <wp:docPr id="103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
                    <pic:cNvPicPr/>
                  </pic:nvPicPr>
                  <pic:blipFill>
                    <a:blip r:embed="rId17" cstate="print"/>
                    <a:srcRect/>
                    <a:stretch/>
                  </pic:blipFill>
                  <pic:spPr>
                    <a:xfrm>
                      <a:off x="0" y="0"/>
                      <a:ext cx="2562225" cy="1364302"/>
                    </a:xfrm>
                    <a:prstGeom prst="rect">
                      <a:avLst/>
                    </a:prstGeom>
                  </pic:spPr>
                </pic:pic>
              </a:graphicData>
            </a:graphic>
          </wp:inline>
        </w:drawing>
      </w:r>
    </w:p>
    <w:p w:rsidR="00BF2BB0" w:rsidRDefault="00BF2BB0" w:rsidP="00BF2BB0">
      <w:pPr>
        <w:spacing w:line="240" w:lineRule="auto"/>
        <w:jc w:val="center"/>
        <w:rPr>
          <w:rFonts w:ascii="Times New Roman" w:hAnsi="Times New Roman" w:cs="Times New Roman"/>
          <w:b/>
        </w:rPr>
      </w:pPr>
      <w:r>
        <w:rPr>
          <w:rFonts w:ascii="Times New Roman" w:hAnsi="Times New Roman" w:cs="Times New Roman"/>
          <w:b/>
        </w:rPr>
        <w:t xml:space="preserve">Gambar 2.7 </w:t>
      </w:r>
      <w:r>
        <w:rPr>
          <w:rFonts w:ascii="Times New Roman" w:hAnsi="Times New Roman" w:cs="Times New Roman"/>
          <w:b/>
          <w:i/>
        </w:rPr>
        <w:t>Supragingiva</w:t>
      </w:r>
      <w:r>
        <w:rPr>
          <w:rFonts w:ascii="Times New Roman" w:hAnsi="Times New Roman" w:cs="Times New Roman"/>
          <w:b/>
        </w:rPr>
        <w:t xml:space="preserve"> dan </w:t>
      </w:r>
      <w:r>
        <w:rPr>
          <w:rFonts w:ascii="Times New Roman" w:hAnsi="Times New Roman" w:cs="Times New Roman"/>
          <w:b/>
          <w:i/>
        </w:rPr>
        <w:t>Subgingiva</w:t>
      </w:r>
      <w:r>
        <w:rPr>
          <w:rFonts w:ascii="Times New Roman" w:hAnsi="Times New Roman" w:cs="Times New Roman"/>
          <w:b/>
        </w:rPr>
        <w:t xml:space="preserve"> Kalkulus</w:t>
      </w:r>
    </w:p>
    <w:p w:rsidR="00BF2BB0" w:rsidRDefault="00BF2BB0" w:rsidP="00BF2BB0">
      <w:pPr>
        <w:spacing w:line="240" w:lineRule="auto"/>
        <w:jc w:val="center"/>
        <w:rPr>
          <w:rFonts w:ascii="Times New Roman" w:hAnsi="Times New Roman" w:cs="Times New Roman"/>
          <w:b/>
          <w:color w:val="000000"/>
        </w:rPr>
      </w:pPr>
      <w:r>
        <w:rPr>
          <w:rFonts w:ascii="Times New Roman" w:hAnsi="Times New Roman" w:cs="Times New Roman"/>
          <w:b/>
          <w:color w:val="000000"/>
        </w:rPr>
        <w:t xml:space="preserve">Sumber : </w:t>
      </w:r>
      <w:hyperlink r:id="rId18" w:history="1">
        <w:r>
          <w:rPr>
            <w:rStyle w:val="Hyperlink"/>
            <w:rFonts w:ascii="Times New Roman" w:hAnsi="Times New Roman" w:cs="Times New Roman"/>
            <w:b/>
            <w:color w:val="000000"/>
          </w:rPr>
          <w:t>http://prasko17.blogspot.com/2012/09/pengertian-kalkulus-dan-jenis-kalkulus.html</w:t>
        </w:r>
      </w:hyperlink>
      <w:r>
        <w:rPr>
          <w:rFonts w:ascii="Times New Roman" w:hAnsi="Times New Roman" w:cs="Times New Roman"/>
          <w:b/>
          <w:color w:val="000000"/>
        </w:rPr>
        <w:t xml:space="preserve"> , diakses pada selasa 16 November 2021</w:t>
      </w:r>
    </w:p>
    <w:p w:rsidR="00BF2BB0" w:rsidRDefault="00BF2BB0" w:rsidP="00BF2BB0">
      <w:pPr>
        <w:spacing w:line="240" w:lineRule="auto"/>
        <w:jc w:val="center"/>
        <w:rPr>
          <w:rFonts w:ascii="Times New Roman" w:hAnsi="Times New Roman" w:cs="Times New Roman"/>
          <w:b/>
          <w:color w:val="000000"/>
          <w:sz w:val="24"/>
          <w:szCs w:val="24"/>
        </w:rPr>
      </w:pPr>
    </w:p>
    <w:p w:rsidR="00BF2BB0" w:rsidRDefault="00BF2BB0" w:rsidP="00BF2BB0">
      <w:pPr>
        <w:spacing w:line="240" w:lineRule="auto"/>
        <w:rPr>
          <w:rFonts w:ascii="Times New Roman" w:hAnsi="Times New Roman" w:cs="Times New Roman"/>
          <w:b/>
          <w:color w:val="000000"/>
        </w:rPr>
      </w:pPr>
    </w:p>
    <w:p w:rsidR="00BF2BB0" w:rsidRDefault="00BF2BB0" w:rsidP="00BF2BB0">
      <w:pPr>
        <w:pStyle w:val="Heading2"/>
        <w:numPr>
          <w:ilvl w:val="2"/>
          <w:numId w:val="11"/>
        </w:numPr>
      </w:pPr>
      <w:bookmarkStart w:id="62" w:name="_Toc90275204"/>
      <w:bookmarkStart w:id="63" w:name="_Toc90334426"/>
      <w:bookmarkStart w:id="64" w:name="_Toc90633149"/>
      <w:bookmarkStart w:id="65" w:name="_Toc90634049"/>
      <w:bookmarkStart w:id="66" w:name="_Toc90734464"/>
      <w:bookmarkStart w:id="67" w:name="_Toc90735118"/>
      <w:bookmarkStart w:id="68" w:name="_Toc94015947"/>
      <w:bookmarkStart w:id="69" w:name="_Toc94016208"/>
      <w:bookmarkStart w:id="70" w:name="_Toc95743753"/>
      <w:bookmarkStart w:id="71" w:name="_Toc102060776"/>
      <w:r>
        <w:rPr>
          <w:iCs/>
        </w:rPr>
        <w:t xml:space="preserve">Status Pemeriksaan </w:t>
      </w:r>
      <w:r>
        <w:rPr>
          <w:i/>
        </w:rPr>
        <w:t>Community Periodontal index</w:t>
      </w:r>
      <w:r>
        <w:t xml:space="preserve"> (CPITN)</w:t>
      </w:r>
      <w:bookmarkEnd w:id="62"/>
      <w:bookmarkEnd w:id="63"/>
      <w:bookmarkEnd w:id="64"/>
      <w:bookmarkEnd w:id="65"/>
      <w:bookmarkEnd w:id="66"/>
      <w:bookmarkEnd w:id="67"/>
      <w:bookmarkEnd w:id="68"/>
      <w:bookmarkEnd w:id="69"/>
      <w:bookmarkEnd w:id="70"/>
      <w:bookmarkEnd w:id="71"/>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Pemeriksaan  </w:t>
      </w:r>
      <w:r>
        <w:rPr>
          <w:rFonts w:ascii="Times New Roman" w:hAnsi="Times New Roman" w:cs="Times New Roman"/>
          <w:i/>
          <w:sz w:val="24"/>
        </w:rPr>
        <w:t xml:space="preserve">Community  Periodontal  Index  Of  Treatmen  Needs </w:t>
      </w:r>
      <w:r>
        <w:rPr>
          <w:rFonts w:ascii="Times New Roman" w:hAnsi="Times New Roman" w:cs="Times New Roman"/>
          <w:sz w:val="24"/>
        </w:rPr>
        <w:t>(CPITN) adalah indeks resmi yang digunakan oleh WHO untuk mengukur kondisi jaringan periodontal serta perkiraan akan kebutuhan perawatan  dengan  menggunakan  sonde  khusus.  Pengukuran  tersebut supaya  bisa  mendapatkan  data  tentang  status  periodontal  masyarakat, merencakan  program  kegiatan  penyuluhan, menentukan  kebutuhan perawatan  meliputi  jenis  tindakan,  besar  beban  kerja  serta  kebutuhan tenaga  dan  memantau  kemajuan  kondisi  periodontal  individu.  (</w:t>
      </w:r>
      <w:r>
        <w:rPr>
          <w:rFonts w:ascii="Times New Roman" w:hAnsi="Times New Roman" w:cs="Times New Roman"/>
          <w:sz w:val="24"/>
          <w:lang w:val="id-ID"/>
        </w:rPr>
        <w:t>I Made, dkk,. 2011</w:t>
      </w:r>
      <w:r>
        <w:rPr>
          <w:rFonts w:ascii="Times New Roman" w:hAnsi="Times New Roman" w:cs="Times New Roman"/>
          <w:sz w:val="24"/>
        </w:rPr>
        <w:t>)</w:t>
      </w:r>
    </w:p>
    <w:p w:rsidR="00BF2BB0" w:rsidRDefault="00BF2BB0" w:rsidP="00BF2BB0">
      <w:pPr>
        <w:pStyle w:val="ListParagraph"/>
        <w:numPr>
          <w:ilvl w:val="0"/>
          <w:numId w:val="8"/>
        </w:numPr>
        <w:spacing w:line="480" w:lineRule="auto"/>
        <w:jc w:val="both"/>
        <w:rPr>
          <w:rFonts w:ascii="Times New Roman" w:hAnsi="Times New Roman" w:cs="Times New Roman"/>
          <w:sz w:val="24"/>
        </w:rPr>
      </w:pPr>
      <w:r>
        <w:rPr>
          <w:rFonts w:ascii="Times New Roman" w:hAnsi="Times New Roman" w:cs="Times New Roman"/>
          <w:sz w:val="24"/>
        </w:rPr>
        <w:t xml:space="preserve">Prinsip kerja Pemeriksaan </w:t>
      </w:r>
      <w:r>
        <w:rPr>
          <w:rFonts w:ascii="Times New Roman" w:hAnsi="Times New Roman" w:cs="Times New Roman"/>
          <w:i/>
          <w:sz w:val="24"/>
        </w:rPr>
        <w:t>Community Periodontal Index Of Treatmen Needs</w:t>
      </w:r>
      <w:r>
        <w:rPr>
          <w:rFonts w:ascii="Times New Roman" w:hAnsi="Times New Roman" w:cs="Times New Roman"/>
          <w:sz w:val="24"/>
        </w:rPr>
        <w:t xml:space="preserve"> (CPITN)</w:t>
      </w:r>
    </w:p>
    <w:p w:rsidR="00BF2BB0" w:rsidRDefault="00BF2BB0" w:rsidP="00BF2BB0">
      <w:pPr>
        <w:spacing w:line="480" w:lineRule="auto"/>
        <w:ind w:left="720" w:firstLine="90"/>
        <w:jc w:val="both"/>
        <w:rPr>
          <w:rFonts w:ascii="Times New Roman" w:hAnsi="Times New Roman" w:cs="Times New Roman"/>
          <w:sz w:val="24"/>
        </w:rPr>
      </w:pPr>
      <w:r>
        <w:rPr>
          <w:rFonts w:ascii="Times New Roman" w:hAnsi="Times New Roman" w:cs="Times New Roman"/>
          <w:sz w:val="24"/>
        </w:rPr>
        <w:t>Pada pengukuran CPITN di lakukan hal-hal sebagai berikut:</w:t>
      </w:r>
    </w:p>
    <w:p w:rsidR="00BF2BB0" w:rsidRDefault="00BF2BB0" w:rsidP="00BF2BB0">
      <w:pPr>
        <w:pStyle w:val="ListParagraph"/>
        <w:numPr>
          <w:ilvl w:val="0"/>
          <w:numId w:val="9"/>
        </w:numPr>
        <w:spacing w:line="480" w:lineRule="auto"/>
        <w:jc w:val="both"/>
        <w:rPr>
          <w:rFonts w:ascii="Times New Roman" w:hAnsi="Times New Roman" w:cs="Times New Roman"/>
          <w:sz w:val="24"/>
        </w:rPr>
      </w:pPr>
      <w:r>
        <w:rPr>
          <w:rFonts w:ascii="Times New Roman" w:hAnsi="Times New Roman" w:cs="Times New Roman"/>
          <w:sz w:val="24"/>
        </w:rPr>
        <w:t>Menggunakan sonde khusus WHO (</w:t>
      </w:r>
      <w:r>
        <w:rPr>
          <w:rFonts w:ascii="Times New Roman" w:hAnsi="Times New Roman" w:cs="Times New Roman"/>
          <w:i/>
          <w:sz w:val="24"/>
        </w:rPr>
        <w:t>Periodontal Examining Probe</w:t>
      </w:r>
      <w:r>
        <w:rPr>
          <w:rFonts w:ascii="Times New Roman" w:hAnsi="Times New Roman" w:cs="Times New Roman"/>
          <w:sz w:val="24"/>
        </w:rPr>
        <w:t>).</w:t>
      </w:r>
    </w:p>
    <w:p w:rsidR="00BF2BB0" w:rsidRDefault="00BF2BB0" w:rsidP="00BF2BB0">
      <w:pPr>
        <w:pStyle w:val="ListParagraph"/>
        <w:numPr>
          <w:ilvl w:val="0"/>
          <w:numId w:val="9"/>
        </w:numPr>
        <w:spacing w:line="480" w:lineRule="auto"/>
        <w:jc w:val="both"/>
        <w:rPr>
          <w:rFonts w:ascii="Times New Roman" w:hAnsi="Times New Roman" w:cs="Times New Roman"/>
          <w:sz w:val="24"/>
        </w:rPr>
      </w:pPr>
      <w:r>
        <w:rPr>
          <w:rFonts w:ascii="Times New Roman" w:hAnsi="Times New Roman" w:cs="Times New Roman"/>
          <w:sz w:val="24"/>
        </w:rPr>
        <w:t>Menggunakan 6 buah sektan.</w:t>
      </w:r>
    </w:p>
    <w:p w:rsidR="00BF2BB0" w:rsidRDefault="00BF2BB0" w:rsidP="00BF2BB0">
      <w:pPr>
        <w:pStyle w:val="ListParagraph"/>
        <w:numPr>
          <w:ilvl w:val="0"/>
          <w:numId w:val="9"/>
        </w:numPr>
        <w:spacing w:line="480" w:lineRule="auto"/>
        <w:jc w:val="both"/>
        <w:rPr>
          <w:rFonts w:ascii="Times New Roman" w:hAnsi="Times New Roman" w:cs="Times New Roman"/>
          <w:sz w:val="24"/>
        </w:rPr>
      </w:pPr>
      <w:r>
        <w:rPr>
          <w:rFonts w:ascii="Times New Roman" w:hAnsi="Times New Roman" w:cs="Times New Roman"/>
          <w:sz w:val="24"/>
        </w:rPr>
        <w:t>Menggunakan gigi indeks.</w:t>
      </w:r>
    </w:p>
    <w:p w:rsidR="00BF2BB0" w:rsidRDefault="00BF2BB0" w:rsidP="00BF2BB0">
      <w:pPr>
        <w:pStyle w:val="ListParagraph"/>
        <w:numPr>
          <w:ilvl w:val="0"/>
          <w:numId w:val="9"/>
        </w:numPr>
        <w:spacing w:line="480" w:lineRule="auto"/>
        <w:jc w:val="both"/>
        <w:rPr>
          <w:rFonts w:ascii="Times New Roman" w:hAnsi="Times New Roman" w:cs="Times New Roman"/>
          <w:sz w:val="24"/>
        </w:rPr>
      </w:pPr>
      <w:r>
        <w:rPr>
          <w:rFonts w:ascii="Times New Roman" w:hAnsi="Times New Roman" w:cs="Times New Roman"/>
          <w:sz w:val="24"/>
        </w:rPr>
        <w:t>Menggunakan  skor  untuk  menilai  tingkatan  kondisi  jaringan periodontal.</w:t>
      </w:r>
    </w:p>
    <w:p w:rsidR="00BF2BB0" w:rsidRDefault="00BF2BB0" w:rsidP="00BF2BB0">
      <w:pPr>
        <w:pStyle w:val="ListParagraph"/>
        <w:numPr>
          <w:ilvl w:val="0"/>
          <w:numId w:val="9"/>
        </w:numPr>
        <w:spacing w:line="480" w:lineRule="auto"/>
        <w:jc w:val="both"/>
        <w:rPr>
          <w:rFonts w:ascii="Times New Roman" w:hAnsi="Times New Roman" w:cs="Times New Roman"/>
          <w:sz w:val="24"/>
        </w:rPr>
      </w:pPr>
      <w:r>
        <w:rPr>
          <w:rFonts w:ascii="Times New Roman" w:hAnsi="Times New Roman" w:cs="Times New Roman"/>
          <w:sz w:val="24"/>
        </w:rPr>
        <w:lastRenderedPageBreak/>
        <w:t>Menentukan  relasi  skor  tertinggi  dengan  kategori  kebutuhan perawatan (KKP), tenaga dan tipe pelayanan. (</w:t>
      </w:r>
      <w:r>
        <w:rPr>
          <w:rFonts w:ascii="Times New Roman" w:hAnsi="Times New Roman" w:cs="Times New Roman"/>
          <w:sz w:val="24"/>
          <w:lang w:val="id-ID"/>
        </w:rPr>
        <w:t>I Made, dkk,. 2011</w:t>
      </w:r>
      <w:r>
        <w:rPr>
          <w:rFonts w:ascii="Times New Roman" w:hAnsi="Times New Roman" w:cs="Times New Roman"/>
          <w:sz w:val="24"/>
        </w:rPr>
        <w:t>)</w:t>
      </w:r>
    </w:p>
    <w:p w:rsidR="00BF2BB0" w:rsidRDefault="00BF2BB0" w:rsidP="00BF2BB0">
      <w:pPr>
        <w:pStyle w:val="ListParagraph"/>
        <w:spacing w:line="480" w:lineRule="auto"/>
        <w:ind w:left="1080"/>
        <w:jc w:val="both"/>
        <w:rPr>
          <w:rFonts w:ascii="Times New Roman" w:hAnsi="Times New Roman" w:cs="Times New Roman"/>
          <w:sz w:val="24"/>
        </w:rPr>
      </w:pPr>
    </w:p>
    <w:p w:rsidR="00BF2BB0" w:rsidRDefault="00BF2BB0" w:rsidP="00BF2BB0">
      <w:pPr>
        <w:pStyle w:val="ListParagraph"/>
        <w:numPr>
          <w:ilvl w:val="0"/>
          <w:numId w:val="8"/>
        </w:numPr>
        <w:spacing w:line="480" w:lineRule="auto"/>
        <w:jc w:val="both"/>
        <w:rPr>
          <w:rFonts w:ascii="Times New Roman" w:hAnsi="Times New Roman" w:cs="Times New Roman"/>
          <w:sz w:val="24"/>
        </w:rPr>
      </w:pPr>
      <w:r>
        <w:rPr>
          <w:rFonts w:ascii="Times New Roman" w:hAnsi="Times New Roman" w:cs="Times New Roman"/>
          <w:sz w:val="24"/>
        </w:rPr>
        <w:t>Sonde khusus (</w:t>
      </w:r>
      <w:r>
        <w:rPr>
          <w:rFonts w:ascii="Times New Roman" w:hAnsi="Times New Roman" w:cs="Times New Roman"/>
          <w:i/>
          <w:sz w:val="24"/>
        </w:rPr>
        <w:t>WHO Probe</w:t>
      </w:r>
      <w:r>
        <w:rPr>
          <w:rFonts w:ascii="Times New Roman" w:hAnsi="Times New Roman" w:cs="Times New Roman"/>
          <w:sz w:val="24"/>
        </w:rPr>
        <w:t>)</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Pada  pengukuran  Prinsip  kerja  Pemeriksaan </w:t>
      </w:r>
      <w:r>
        <w:rPr>
          <w:rFonts w:ascii="Times New Roman" w:hAnsi="Times New Roman" w:cs="Times New Roman"/>
          <w:i/>
          <w:sz w:val="24"/>
        </w:rPr>
        <w:t>Community Periodontal  index  Of  Treatmen  Needs</w:t>
      </w:r>
      <w:r>
        <w:rPr>
          <w:rFonts w:ascii="Times New Roman" w:hAnsi="Times New Roman" w:cs="Times New Roman"/>
          <w:sz w:val="24"/>
        </w:rPr>
        <w:t xml:space="preserve">  (CPITN)  digunakan  sonde khusus yang  dinamakan </w:t>
      </w:r>
      <w:r>
        <w:rPr>
          <w:rFonts w:ascii="Times New Roman" w:hAnsi="Times New Roman" w:cs="Times New Roman"/>
          <w:i/>
          <w:sz w:val="24"/>
        </w:rPr>
        <w:t>WHO  Probe</w:t>
      </w:r>
      <w:r>
        <w:rPr>
          <w:rFonts w:ascii="Times New Roman" w:hAnsi="Times New Roman" w:cs="Times New Roman"/>
          <w:sz w:val="24"/>
        </w:rPr>
        <w:t xml:space="preserve"> yang mempunyai  desain khusus,  yaitu  ujungnya  berbentuk  bola  bulat  dengan  diameter  0,5 mm,  sehingga  probe  ini  dapat  dipakai  sebagai  alat  perasa  (</w:t>
      </w:r>
      <w:r>
        <w:rPr>
          <w:rFonts w:ascii="Times New Roman" w:hAnsi="Times New Roman" w:cs="Times New Roman"/>
          <w:i/>
          <w:sz w:val="24"/>
        </w:rPr>
        <w:t>sensing instrument</w:t>
      </w:r>
      <w:r>
        <w:rPr>
          <w:rFonts w:ascii="Times New Roman" w:hAnsi="Times New Roman" w:cs="Times New Roman"/>
          <w:sz w:val="24"/>
        </w:rPr>
        <w:t>) sehingga dapat digunakan sebagai alat eksplorer untuk mengetahui  ada  tidaknya  perdarahan,  ada  tidaknya  kalkulus,  ada tidaknya  poket  dan  untuk  mengetahui  kualitas  kedalaman  poket (</w:t>
      </w:r>
      <w:r>
        <w:rPr>
          <w:rFonts w:ascii="Times New Roman" w:hAnsi="Times New Roman" w:cs="Times New Roman"/>
          <w:sz w:val="24"/>
          <w:lang w:val="id-ID"/>
        </w:rPr>
        <w:t>I Made</w:t>
      </w:r>
      <w:r>
        <w:rPr>
          <w:rFonts w:ascii="Times New Roman" w:hAnsi="Times New Roman" w:cs="Times New Roman"/>
          <w:sz w:val="24"/>
        </w:rPr>
        <w:t>, dkk., 201</w:t>
      </w:r>
      <w:r>
        <w:rPr>
          <w:rFonts w:ascii="Times New Roman" w:hAnsi="Times New Roman" w:cs="Times New Roman"/>
          <w:sz w:val="24"/>
          <w:lang w:val="id-ID"/>
        </w:rPr>
        <w:t>1</w:t>
      </w:r>
      <w:r>
        <w:rPr>
          <w:rFonts w:ascii="Times New Roman" w:hAnsi="Times New Roman" w:cs="Times New Roman"/>
          <w:sz w:val="24"/>
        </w:rPr>
        <w:t>)</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Tekanan pada waktu probing tidak boleh melebihi 25 gram, sebagai patokan dapat diukur dengan menekan kulit dibawah kuku ibu  jari  tangan  dengan  ujung  probe.  Tekanan  tersebut  tidak  boleh menimbulkan  rasa  sakit  atau  tidak  enak,  dapat  juga  digunakan timbangan kecil, caranya adalah dengan menekan timbangan tersebut dengan ujung sonde sampai jarum pada timbangan menunjukan  angka  25  gram.</w:t>
      </w:r>
    </w:p>
    <w:p w:rsidR="00BF2BB0" w:rsidRDefault="00BF2BB0" w:rsidP="00BF2BB0">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Cara  pemakaian  </w:t>
      </w:r>
      <w:r>
        <w:rPr>
          <w:rFonts w:ascii="Times New Roman" w:hAnsi="Times New Roman" w:cs="Times New Roman"/>
          <w:i/>
          <w:sz w:val="24"/>
        </w:rPr>
        <w:t>WHO  Probe</w:t>
      </w:r>
      <w:r>
        <w:rPr>
          <w:rFonts w:ascii="Times New Roman" w:hAnsi="Times New Roman" w:cs="Times New Roman"/>
          <w:sz w:val="24"/>
        </w:rPr>
        <w:t xml:space="preserve">  adalah dengan  memasukan  hingga  mencapai  dasar  saku  gusi  atau  poket periodontal dengan tekanan 25 gram. Gerakan </w:t>
      </w:r>
      <w:r>
        <w:rPr>
          <w:rFonts w:ascii="Times New Roman" w:hAnsi="Times New Roman" w:cs="Times New Roman"/>
          <w:i/>
          <w:sz w:val="24"/>
        </w:rPr>
        <w:t>WHO Probe</w:t>
      </w:r>
      <w:r>
        <w:rPr>
          <w:rFonts w:ascii="Times New Roman" w:hAnsi="Times New Roman" w:cs="Times New Roman"/>
          <w:sz w:val="24"/>
        </w:rPr>
        <w:t xml:space="preserve"> menelusuri dinding poket maka maka dapat menilai kualitas kedalaman poket dengan pengamatan kedudukan batas margin gingival tehadap warna probe. (</w:t>
      </w:r>
      <w:r>
        <w:rPr>
          <w:rFonts w:ascii="Times New Roman" w:hAnsi="Times New Roman" w:cs="Times New Roman"/>
          <w:sz w:val="24"/>
          <w:lang w:val="id-ID"/>
        </w:rPr>
        <w:t>I Made</w:t>
      </w:r>
      <w:r>
        <w:rPr>
          <w:rFonts w:ascii="Times New Roman" w:hAnsi="Times New Roman" w:cs="Times New Roman"/>
          <w:sz w:val="24"/>
        </w:rPr>
        <w:t>, dkk., 201</w:t>
      </w:r>
      <w:r>
        <w:rPr>
          <w:rFonts w:ascii="Times New Roman" w:hAnsi="Times New Roman" w:cs="Times New Roman"/>
          <w:sz w:val="24"/>
          <w:lang w:val="id-ID"/>
        </w:rPr>
        <w:t>1</w:t>
      </w:r>
      <w:r>
        <w:rPr>
          <w:rFonts w:ascii="Times New Roman" w:hAnsi="Times New Roman" w:cs="Times New Roman"/>
          <w:sz w:val="24"/>
        </w:rPr>
        <w:t>)</w:t>
      </w:r>
    </w:p>
    <w:p w:rsidR="00BF2BB0" w:rsidRDefault="00BF2BB0" w:rsidP="00BF2BB0">
      <w:pPr>
        <w:pStyle w:val="ListParagraph"/>
        <w:numPr>
          <w:ilvl w:val="0"/>
          <w:numId w:val="8"/>
        </w:numPr>
        <w:spacing w:line="480" w:lineRule="auto"/>
        <w:jc w:val="both"/>
        <w:rPr>
          <w:rFonts w:ascii="Times New Roman" w:hAnsi="Times New Roman" w:cs="Times New Roman"/>
          <w:sz w:val="24"/>
        </w:rPr>
      </w:pPr>
      <w:r>
        <w:rPr>
          <w:rFonts w:ascii="Times New Roman" w:hAnsi="Times New Roman" w:cs="Times New Roman"/>
          <w:sz w:val="24"/>
        </w:rPr>
        <w:t>Sektan Gigi Index</w:t>
      </w:r>
    </w:p>
    <w:p w:rsidR="00BF2BB0" w:rsidRDefault="00BF2BB0" w:rsidP="00BF2BB0">
      <w:pPr>
        <w:pStyle w:val="ListParagraph"/>
        <w:numPr>
          <w:ilvl w:val="0"/>
          <w:numId w:val="13"/>
        </w:numPr>
        <w:tabs>
          <w:tab w:val="left" w:pos="1440"/>
        </w:tabs>
        <w:spacing w:after="200" w:line="480" w:lineRule="auto"/>
        <w:ind w:left="1440"/>
        <w:jc w:val="both"/>
        <w:rPr>
          <w:rFonts w:ascii="Times New Roman" w:hAnsi="Times New Roman" w:cs="Times New Roman"/>
          <w:sz w:val="24"/>
          <w:szCs w:val="24"/>
        </w:rPr>
      </w:pPr>
      <w:r>
        <w:rPr>
          <w:rFonts w:ascii="Times New Roman" w:hAnsi="Times New Roman" w:cs="Times New Roman"/>
          <w:sz w:val="24"/>
        </w:rPr>
        <w:t xml:space="preserve">Untuk  mendapatkan  penilaian  keadaan  jaringan  periodontal maka gigi indeks yang harus diperiksa bergantung dari umur individu.kelompok dewasa  umur  20 </w:t>
      </w:r>
      <w:r>
        <w:rPr>
          <w:rFonts w:ascii="Times New Roman" w:hAnsi="Times New Roman" w:cs="Times New Roman"/>
          <w:sz w:val="24"/>
        </w:rPr>
        <w:lastRenderedPageBreak/>
        <w:t>tahun</w:t>
      </w:r>
      <w:r>
        <w:rPr>
          <w:rFonts w:ascii="Times New Roman" w:hAnsi="Times New Roman" w:cs="Times New Roman"/>
          <w:sz w:val="24"/>
          <w:szCs w:val="24"/>
        </w:rPr>
        <w:t xml:space="preserve"> hanya 10 indeks gigi. Gigi geligi tersebut adalah 17, 16, 11, 26, 27, 37, 36, 31, 46, 47. Gigi geligi ini telah diidentifikasi sebagai prediksi terbaik dari kasus periodontal.</w:t>
      </w:r>
    </w:p>
    <w:p w:rsidR="00BF2BB0" w:rsidRDefault="00BF2BB0" w:rsidP="00BF2BB0">
      <w:pPr>
        <w:pStyle w:val="ListParagraph"/>
        <w:numPr>
          <w:ilvl w:val="0"/>
          <w:numId w:val="13"/>
        </w:numPr>
        <w:tabs>
          <w:tab w:val="left" w:pos="1440"/>
        </w:tabs>
        <w:spacing w:after="200" w:line="480" w:lineRule="auto"/>
        <w:ind w:left="1440"/>
        <w:jc w:val="both"/>
        <w:rPr>
          <w:rFonts w:ascii="Times New Roman" w:hAnsi="Times New Roman" w:cs="Times New Roman"/>
          <w:sz w:val="24"/>
          <w:szCs w:val="24"/>
        </w:rPr>
      </w:pPr>
      <w:r>
        <w:rPr>
          <w:rFonts w:ascii="Times New Roman" w:hAnsi="Times New Roman" w:cs="Times New Roman"/>
          <w:sz w:val="24"/>
          <w:szCs w:val="24"/>
        </w:rPr>
        <w:t>Indeks gigi yang diperiksa pada anak umur 19 tahun hanya 6 indeks gigi yang diperiksa yaitu 16, 11, 26, 36, 31, 46. Gigi molar kedua tidak dimasukkan sebagai indeks gigi pada usia ini karena frekuensi yang tinggi dari false pockets.</w:t>
      </w:r>
    </w:p>
    <w:p w:rsidR="00BF2BB0" w:rsidRDefault="00BF2BB0" w:rsidP="00BF2BB0">
      <w:pPr>
        <w:pStyle w:val="ListParagraph"/>
        <w:numPr>
          <w:ilvl w:val="0"/>
          <w:numId w:val="8"/>
        </w:numPr>
        <w:spacing w:line="480" w:lineRule="auto"/>
        <w:jc w:val="both"/>
        <w:rPr>
          <w:rFonts w:ascii="Times New Roman" w:hAnsi="Times New Roman" w:cs="Times New Roman"/>
          <w:sz w:val="24"/>
        </w:rPr>
      </w:pPr>
      <w:r>
        <w:rPr>
          <w:rFonts w:ascii="Times New Roman" w:hAnsi="Times New Roman" w:cs="Times New Roman"/>
          <w:sz w:val="24"/>
        </w:rPr>
        <w:t>Penilaian atas tingkatan kondisi jaringan periodontal</w:t>
      </w:r>
    </w:p>
    <w:p w:rsidR="00BF2BB0" w:rsidRDefault="00BF2BB0" w:rsidP="00BF2BB0">
      <w:pPr>
        <w:spacing w:line="480" w:lineRule="auto"/>
        <w:ind w:left="720"/>
        <w:jc w:val="both"/>
        <w:rPr>
          <w:rFonts w:ascii="Times New Roman" w:hAnsi="Times New Roman" w:cs="Times New Roman"/>
          <w:sz w:val="24"/>
        </w:rPr>
      </w:pPr>
      <w:r>
        <w:rPr>
          <w:rFonts w:ascii="Times New Roman" w:hAnsi="Times New Roman" w:cs="Times New Roman"/>
          <w:sz w:val="24"/>
        </w:rPr>
        <w:t>Penilaian atas kondisi jaringan periodontal dapat dilakukan sebagai :</w:t>
      </w:r>
    </w:p>
    <w:p w:rsidR="00BF2BB0" w:rsidRDefault="00BF2BB0" w:rsidP="00BF2BB0">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Nilai nol untuk kondisi jaringan periodontal gingiva sehat, tidak ada perdarahan, karang gigi maupun </w:t>
      </w:r>
      <w:r>
        <w:rPr>
          <w:rFonts w:ascii="Times New Roman" w:hAnsi="Times New Roman" w:cs="Times New Roman"/>
          <w:i/>
          <w:sz w:val="24"/>
        </w:rPr>
        <w:t>pocket</w:t>
      </w:r>
      <w:r>
        <w:rPr>
          <w:rFonts w:ascii="Times New Roman" w:hAnsi="Times New Roman" w:cs="Times New Roman"/>
          <w:sz w:val="24"/>
        </w:rPr>
        <w:t xml:space="preserve">. Menurut Putri (2012) jaringan periodontal  sehat  adalah  suatu  kondisi  jaringan  periodontal  gingiva  sehat,  tidak menunjukkan  perdarahan  pada  </w:t>
      </w:r>
      <w:r>
        <w:rPr>
          <w:rFonts w:ascii="Times New Roman" w:hAnsi="Times New Roman" w:cs="Times New Roman"/>
          <w:i/>
          <w:sz w:val="24"/>
        </w:rPr>
        <w:t>probing</w:t>
      </w:r>
      <w:r>
        <w:rPr>
          <w:rFonts w:ascii="Times New Roman" w:hAnsi="Times New Roman" w:cs="Times New Roman"/>
          <w:sz w:val="24"/>
        </w:rPr>
        <w:t xml:space="preserve">,  tidak  ditemukan  karang  gigi  maupun pocket. Area berwarna pada </w:t>
      </w:r>
      <w:r>
        <w:rPr>
          <w:rFonts w:ascii="Times New Roman" w:hAnsi="Times New Roman" w:cs="Times New Roman"/>
          <w:i/>
          <w:sz w:val="24"/>
        </w:rPr>
        <w:t>probe</w:t>
      </w:r>
      <w:r>
        <w:rPr>
          <w:rFonts w:ascii="Times New Roman" w:hAnsi="Times New Roman" w:cs="Times New Roman"/>
          <w:sz w:val="24"/>
        </w:rPr>
        <w:t xml:space="preserve"> masih terlihat lengkap.</w:t>
      </w:r>
    </w:p>
    <w:p w:rsidR="00BF2BB0" w:rsidRDefault="00BF2BB0" w:rsidP="00BF2BB0">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Nilai satu untuk jaringan periodontal yang mengalami perdarahan. Perdarahan tampak  secara  langsung  dengan  kaca  mulut  setelah  selesai  perabaan  dengan sonde. Area masih berwarna masih terlihat lengkap di </w:t>
      </w:r>
      <w:r>
        <w:rPr>
          <w:rFonts w:ascii="Times New Roman" w:hAnsi="Times New Roman" w:cs="Times New Roman"/>
          <w:i/>
          <w:sz w:val="24"/>
        </w:rPr>
        <w:t>sulkus gingiva</w:t>
      </w:r>
      <w:r>
        <w:rPr>
          <w:rFonts w:ascii="Times New Roman" w:hAnsi="Times New Roman" w:cs="Times New Roman"/>
          <w:sz w:val="24"/>
        </w:rPr>
        <w:t xml:space="preserve"> yang terdalam pada suatu </w:t>
      </w:r>
      <w:r>
        <w:rPr>
          <w:rFonts w:ascii="Times New Roman" w:hAnsi="Times New Roman" w:cs="Times New Roman"/>
          <w:i/>
          <w:sz w:val="24"/>
        </w:rPr>
        <w:t>sextan</w:t>
      </w:r>
      <w:r>
        <w:rPr>
          <w:rFonts w:ascii="Times New Roman" w:hAnsi="Times New Roman" w:cs="Times New Roman"/>
          <w:sz w:val="24"/>
        </w:rPr>
        <w:t xml:space="preserve">, tidak ditemukan karang gigi tetapi dijumpai perdarahan  setelah  dilakukan  </w:t>
      </w:r>
      <w:r>
        <w:rPr>
          <w:rFonts w:ascii="Times New Roman" w:hAnsi="Times New Roman" w:cs="Times New Roman"/>
          <w:i/>
          <w:sz w:val="24"/>
        </w:rPr>
        <w:t>probing</w:t>
      </w:r>
      <w:r>
        <w:rPr>
          <w:rFonts w:ascii="Times New Roman" w:hAnsi="Times New Roman" w:cs="Times New Roman"/>
          <w:sz w:val="24"/>
        </w:rPr>
        <w:t xml:space="preserve">  ringan  (Putri,  2012).  Penyebab  dari  gusi berdarah adalah karena kebersihan gigi yang kurang baik, sehingga terbentuk plak pada  permukaaan  gigi  dan  gusi.</w:t>
      </w:r>
    </w:p>
    <w:p w:rsidR="00BF2BB0" w:rsidRDefault="00BF2BB0" w:rsidP="00BF2BB0">
      <w:pPr>
        <w:pStyle w:val="ListParagraph"/>
        <w:spacing w:line="480" w:lineRule="auto"/>
        <w:ind w:left="1080"/>
        <w:jc w:val="both"/>
        <w:rPr>
          <w:rFonts w:ascii="Times New Roman" w:hAnsi="Times New Roman" w:cs="Times New Roman"/>
          <w:sz w:val="24"/>
        </w:rPr>
      </w:pPr>
      <w:r>
        <w:rPr>
          <w:rFonts w:ascii="Times New Roman" w:hAnsi="Times New Roman" w:cs="Times New Roman"/>
          <w:sz w:val="24"/>
        </w:rPr>
        <w:t xml:space="preserve">Kuman-kuman  pada  plak  menghasilkan  racun yang  merangsang gusi  dan  gusi  menjadi  mudah  berdarah.  Peradangan  gusi  dapat juga terjadi karena sikat gigi yang keras, rokok, alkohol, dan kekurangan vitamin. Gusi akan tampak merah, bengkak, </w:t>
      </w:r>
      <w:r>
        <w:rPr>
          <w:rFonts w:ascii="Times New Roman" w:hAnsi="Times New Roman" w:cs="Times New Roman"/>
          <w:sz w:val="24"/>
        </w:rPr>
        <w:lastRenderedPageBreak/>
        <w:t>mudah berdarah bila ditekan sedikit saja. Plak jika  tidak  di  hilangkan  lama kelamaan  plak  akan menjadi keras dan dapat menimbulkan karang gigi.</w:t>
      </w:r>
    </w:p>
    <w:p w:rsidR="00BF2BB0" w:rsidRDefault="00BF2BB0" w:rsidP="00BF2BB0">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Nilai dua perabaan pada sonde terasa kasar adanya karang gigi. Area berwarna dari sonde </w:t>
      </w:r>
      <w:r>
        <w:rPr>
          <w:rFonts w:ascii="Times New Roman" w:hAnsi="Times New Roman" w:cs="Times New Roman"/>
          <w:i/>
          <w:sz w:val="24"/>
        </w:rPr>
        <w:t>WHO</w:t>
      </w:r>
      <w:r>
        <w:rPr>
          <w:rFonts w:ascii="Times New Roman" w:hAnsi="Times New Roman" w:cs="Times New Roman"/>
          <w:sz w:val="24"/>
        </w:rPr>
        <w:t xml:space="preserve"> masih terlihat lengkap di sulkus gingiva yang tedalam pada suatu </w:t>
      </w:r>
      <w:r>
        <w:rPr>
          <w:rFonts w:ascii="Times New Roman" w:hAnsi="Times New Roman" w:cs="Times New Roman"/>
          <w:i/>
          <w:sz w:val="24"/>
        </w:rPr>
        <w:t>sextan</w:t>
      </w:r>
      <w:r>
        <w:rPr>
          <w:rFonts w:ascii="Times New Roman" w:hAnsi="Times New Roman" w:cs="Times New Roman"/>
          <w:sz w:val="24"/>
        </w:rPr>
        <w:t xml:space="preserve">,  dapat  ditemukan  perdarahan  setelah  dilakuakn  </w:t>
      </w:r>
      <w:r>
        <w:rPr>
          <w:rFonts w:ascii="Times New Roman" w:hAnsi="Times New Roman" w:cs="Times New Roman"/>
          <w:i/>
          <w:sz w:val="24"/>
        </w:rPr>
        <w:t>probing</w:t>
      </w:r>
      <w:r>
        <w:rPr>
          <w:rFonts w:ascii="Times New Roman" w:hAnsi="Times New Roman" w:cs="Times New Roman"/>
          <w:sz w:val="24"/>
        </w:rPr>
        <w:t xml:space="preserve">,  dan  ditemukan karang  gigi  </w:t>
      </w:r>
      <w:r>
        <w:rPr>
          <w:rFonts w:ascii="Times New Roman" w:hAnsi="Times New Roman" w:cs="Times New Roman"/>
          <w:i/>
          <w:sz w:val="24"/>
        </w:rPr>
        <w:t>supragingiva</w:t>
      </w:r>
      <w:r>
        <w:rPr>
          <w:rFonts w:ascii="Times New Roman" w:hAnsi="Times New Roman" w:cs="Times New Roman"/>
          <w:sz w:val="24"/>
        </w:rPr>
        <w:t xml:space="preserve">  atau  </w:t>
      </w:r>
      <w:r>
        <w:rPr>
          <w:rFonts w:ascii="Times New Roman" w:hAnsi="Times New Roman" w:cs="Times New Roman"/>
          <w:i/>
          <w:sz w:val="24"/>
        </w:rPr>
        <w:t>subgingiva</w:t>
      </w:r>
      <w:r>
        <w:rPr>
          <w:rFonts w:ascii="Times New Roman" w:hAnsi="Times New Roman" w:cs="Times New Roman"/>
          <w:sz w:val="24"/>
        </w:rPr>
        <w:t xml:space="preserve">  (Putri  2012).</w:t>
      </w:r>
    </w:p>
    <w:p w:rsidR="00BF2BB0" w:rsidRDefault="00BF2BB0" w:rsidP="00BF2BB0">
      <w:pPr>
        <w:pStyle w:val="ListParagraph"/>
        <w:spacing w:line="480" w:lineRule="auto"/>
        <w:ind w:left="1080"/>
        <w:jc w:val="both"/>
        <w:rPr>
          <w:rFonts w:ascii="Times New Roman" w:hAnsi="Times New Roman" w:cs="Times New Roman"/>
          <w:sz w:val="24"/>
        </w:rPr>
      </w:pPr>
      <w:r>
        <w:rPr>
          <w:rFonts w:ascii="Times New Roman" w:hAnsi="Times New Roman" w:cs="Times New Roman"/>
          <w:sz w:val="24"/>
        </w:rPr>
        <w:t xml:space="preserve">Karang gigi merupakan jaringan keras yang melekat erat pada permukaan gigi. Karang gigi dapat melekat erat  pada  permukaan  gigi  yang  terletak  di  atas  gusi  yang  disebut  karang  gigi </w:t>
      </w:r>
      <w:r>
        <w:rPr>
          <w:rFonts w:ascii="Times New Roman" w:hAnsi="Times New Roman" w:cs="Times New Roman"/>
          <w:i/>
          <w:sz w:val="24"/>
        </w:rPr>
        <w:t>supragingiva</w:t>
      </w:r>
      <w:r>
        <w:rPr>
          <w:rFonts w:ascii="Times New Roman" w:hAnsi="Times New Roman" w:cs="Times New Roman"/>
          <w:sz w:val="24"/>
        </w:rPr>
        <w:t xml:space="preserve">,  atau  pada  permukaan  yang  terletak  di  bawah  gusi,  dan  disebut karang  gigi  </w:t>
      </w:r>
      <w:r>
        <w:rPr>
          <w:rFonts w:ascii="Times New Roman" w:hAnsi="Times New Roman" w:cs="Times New Roman"/>
          <w:i/>
          <w:sz w:val="24"/>
        </w:rPr>
        <w:t>subgingiva</w:t>
      </w:r>
      <w:r>
        <w:rPr>
          <w:rFonts w:ascii="Times New Roman" w:hAnsi="Times New Roman" w:cs="Times New Roman"/>
          <w:sz w:val="24"/>
        </w:rPr>
        <w:t>.</w:t>
      </w:r>
    </w:p>
    <w:p w:rsidR="00BF2BB0" w:rsidRDefault="00BF2BB0" w:rsidP="00BF2BB0">
      <w:pPr>
        <w:pStyle w:val="ListParagraph"/>
        <w:spacing w:line="480" w:lineRule="auto"/>
        <w:ind w:left="1080"/>
        <w:jc w:val="both"/>
        <w:rPr>
          <w:rFonts w:ascii="Times New Roman" w:hAnsi="Times New Roman" w:cs="Times New Roman"/>
          <w:sz w:val="24"/>
        </w:rPr>
      </w:pPr>
      <w:r>
        <w:rPr>
          <w:rFonts w:ascii="Times New Roman" w:hAnsi="Times New Roman" w:cs="Times New Roman"/>
          <w:sz w:val="24"/>
        </w:rPr>
        <w:t xml:space="preserve">Karang gigi </w:t>
      </w:r>
      <w:r>
        <w:rPr>
          <w:rFonts w:ascii="Times New Roman" w:hAnsi="Times New Roman" w:cs="Times New Roman"/>
          <w:i/>
          <w:sz w:val="24"/>
        </w:rPr>
        <w:t xml:space="preserve">supragingiva </w:t>
      </w:r>
      <w:r>
        <w:rPr>
          <w:rFonts w:ascii="Times New Roman" w:hAnsi="Times New Roman" w:cs="Times New Roman"/>
          <w:sz w:val="24"/>
        </w:rPr>
        <w:t xml:space="preserve">warnanya kuning  melekat  di atas permukaan gusi. Karang gigi subgingiva warnanya coklat kehitaman, melekat erat di bawah gusi dan amat sukar di bersihkan. Karang gigi </w:t>
      </w:r>
      <w:r>
        <w:rPr>
          <w:rFonts w:ascii="Times New Roman" w:hAnsi="Times New Roman" w:cs="Times New Roman"/>
          <w:i/>
          <w:sz w:val="24"/>
        </w:rPr>
        <w:t>supragingiva</w:t>
      </w:r>
      <w:r>
        <w:rPr>
          <w:rFonts w:ascii="Times New Roman" w:hAnsi="Times New Roman" w:cs="Times New Roman"/>
          <w:sz w:val="24"/>
        </w:rPr>
        <w:t xml:space="preserve"> berasal dari  endapan-endapan  mineral  ludah  yang bereaksi  dengn  bakteri-bakteri  mulut</w:t>
      </w:r>
      <w:r>
        <w:rPr>
          <w:rFonts w:ascii="Times New Roman" w:hAnsi="Times New Roman" w:cs="Times New Roman"/>
        </w:rPr>
        <w:t xml:space="preserve"> </w:t>
      </w:r>
      <w:r>
        <w:rPr>
          <w:rFonts w:ascii="Times New Roman" w:hAnsi="Times New Roman" w:cs="Times New Roman"/>
          <w:sz w:val="24"/>
        </w:rPr>
        <w:t xml:space="preserve">serta sisa-sisa makanan,  sedangkan  karang  gigi  </w:t>
      </w:r>
      <w:r>
        <w:rPr>
          <w:rFonts w:ascii="Times New Roman" w:hAnsi="Times New Roman" w:cs="Times New Roman"/>
          <w:i/>
          <w:iCs/>
          <w:sz w:val="24"/>
        </w:rPr>
        <w:t>subgingiva</w:t>
      </w:r>
      <w:r>
        <w:rPr>
          <w:rFonts w:ascii="Times New Roman" w:hAnsi="Times New Roman" w:cs="Times New Roman"/>
          <w:sz w:val="24"/>
        </w:rPr>
        <w:t xml:space="preserve">  berasal  dari  sel-sel darah yang pecah dan mangendap ke sela-sela gigi dan gusi. </w:t>
      </w:r>
    </w:p>
    <w:p w:rsidR="00BF2BB0" w:rsidRDefault="00BF2BB0" w:rsidP="00BF2BB0">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Nilai tiga untuk </w:t>
      </w:r>
      <w:r>
        <w:rPr>
          <w:rFonts w:ascii="Times New Roman" w:hAnsi="Times New Roman" w:cs="Times New Roman"/>
          <w:i/>
          <w:sz w:val="24"/>
        </w:rPr>
        <w:t>pocket</w:t>
      </w:r>
      <w:r>
        <w:rPr>
          <w:rFonts w:ascii="Times New Roman" w:hAnsi="Times New Roman" w:cs="Times New Roman"/>
          <w:sz w:val="24"/>
        </w:rPr>
        <w:t xml:space="preserve"> dangkal, jika sebagian warna hitam pada sonde masih terlihat dan tepi gusi terletak pada daerah hitam. </w:t>
      </w:r>
      <w:r>
        <w:rPr>
          <w:rFonts w:ascii="Times New Roman" w:hAnsi="Times New Roman" w:cs="Times New Roman"/>
          <w:i/>
          <w:sz w:val="24"/>
        </w:rPr>
        <w:t>Pocket</w:t>
      </w:r>
      <w:r>
        <w:rPr>
          <w:rFonts w:ascii="Times New Roman" w:hAnsi="Times New Roman" w:cs="Times New Roman"/>
          <w:sz w:val="24"/>
        </w:rPr>
        <w:t xml:space="preserve"> dakal adalah pendalaman sulkus  gingiva  desertai  dengan  kerusakan  serabut  gingiva  didekatnya,  </w:t>
      </w:r>
      <w:r>
        <w:rPr>
          <w:rFonts w:ascii="Times New Roman" w:hAnsi="Times New Roman" w:cs="Times New Roman"/>
          <w:i/>
          <w:sz w:val="24"/>
        </w:rPr>
        <w:t>pocket</w:t>
      </w:r>
      <w:r>
        <w:rPr>
          <w:rFonts w:ascii="Times New Roman" w:hAnsi="Times New Roman" w:cs="Times New Roman"/>
          <w:sz w:val="24"/>
        </w:rPr>
        <w:t xml:space="preserve"> dangkal memiliki kedalaman 3,5-3,3 milimeter saat dilakukan</w:t>
      </w:r>
      <w:r>
        <w:rPr>
          <w:rFonts w:ascii="Times New Roman" w:hAnsi="Times New Roman" w:cs="Times New Roman"/>
          <w:i/>
          <w:sz w:val="24"/>
        </w:rPr>
        <w:t xml:space="preserve"> probing</w:t>
      </w:r>
      <w:r>
        <w:rPr>
          <w:rFonts w:ascii="Times New Roman" w:hAnsi="Times New Roman" w:cs="Times New Roman"/>
          <w:sz w:val="24"/>
        </w:rPr>
        <w:t xml:space="preserve">, area berwarna  pada  </w:t>
      </w:r>
      <w:r>
        <w:rPr>
          <w:rFonts w:ascii="Times New Roman" w:hAnsi="Times New Roman" w:cs="Times New Roman"/>
          <w:i/>
          <w:sz w:val="24"/>
        </w:rPr>
        <w:t>probe</w:t>
      </w:r>
      <w:r>
        <w:rPr>
          <w:rFonts w:ascii="Times New Roman" w:hAnsi="Times New Roman" w:cs="Times New Roman"/>
          <w:sz w:val="24"/>
        </w:rPr>
        <w:t xml:space="preserve">  masuk  sebagaian  ke  dalam  saku  gusi  (Putri,  2012).  Tanda-tanda  pocket  adalah  warna  dinding  merah  tua  sampai  kebiruan,  bila  ditusuk perlahan-lahan  dengan  sonde  pada  permukaan  dalam  dari  </w:t>
      </w:r>
      <w:r>
        <w:rPr>
          <w:rFonts w:ascii="Times New Roman" w:hAnsi="Times New Roman" w:cs="Times New Roman"/>
          <w:i/>
          <w:sz w:val="24"/>
        </w:rPr>
        <w:t>pocket</w:t>
      </w:r>
      <w:r>
        <w:rPr>
          <w:rFonts w:ascii="Times New Roman" w:hAnsi="Times New Roman" w:cs="Times New Roman"/>
          <w:sz w:val="24"/>
        </w:rPr>
        <w:t xml:space="preserve">  akan  tersa  sakit dan berdarah</w:t>
      </w:r>
      <w:r>
        <w:rPr>
          <w:rFonts w:ascii="Times New Roman" w:hAnsi="Times New Roman" w:cs="Times New Roman"/>
          <w:sz w:val="24"/>
          <w:lang w:val="id-ID"/>
        </w:rPr>
        <w:t>.</w:t>
      </w:r>
    </w:p>
    <w:p w:rsidR="00BF2BB0" w:rsidRDefault="00BF2BB0" w:rsidP="00BF2BB0">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Nilai  empat  untuk  </w:t>
      </w:r>
      <w:r>
        <w:rPr>
          <w:rFonts w:ascii="Times New Roman" w:hAnsi="Times New Roman" w:cs="Times New Roman"/>
          <w:i/>
          <w:sz w:val="24"/>
        </w:rPr>
        <w:t>pocket</w:t>
      </w:r>
      <w:r>
        <w:rPr>
          <w:rFonts w:ascii="Times New Roman" w:hAnsi="Times New Roman" w:cs="Times New Roman"/>
          <w:sz w:val="24"/>
        </w:rPr>
        <w:t xml:space="preserve">  dalam,  jika  seluruh  warna  hitam  pada  sonde  tidak terlihat.  </w:t>
      </w:r>
      <w:r>
        <w:rPr>
          <w:rFonts w:ascii="Times New Roman" w:hAnsi="Times New Roman" w:cs="Times New Roman"/>
          <w:i/>
          <w:sz w:val="24"/>
        </w:rPr>
        <w:t>Pocket</w:t>
      </w:r>
      <w:r>
        <w:rPr>
          <w:rFonts w:ascii="Times New Roman" w:hAnsi="Times New Roman" w:cs="Times New Roman"/>
          <w:sz w:val="24"/>
        </w:rPr>
        <w:t xml:space="preserve">  dalam  adalah  pendalaman  sulkus  gingiva  dengan  posisi  dasar </w:t>
      </w:r>
      <w:r>
        <w:rPr>
          <w:rFonts w:ascii="Times New Roman" w:hAnsi="Times New Roman" w:cs="Times New Roman"/>
          <w:i/>
          <w:sz w:val="24"/>
        </w:rPr>
        <w:t>pocket</w:t>
      </w:r>
      <w:r>
        <w:rPr>
          <w:rFonts w:ascii="Times New Roman" w:hAnsi="Times New Roman" w:cs="Times New Roman"/>
          <w:sz w:val="24"/>
        </w:rPr>
        <w:t xml:space="preserve">  dan  </w:t>
      </w:r>
      <w:r>
        <w:rPr>
          <w:rFonts w:ascii="Times New Roman" w:hAnsi="Times New Roman" w:cs="Times New Roman"/>
          <w:i/>
          <w:sz w:val="24"/>
        </w:rPr>
        <w:t>epithel  jungcion</w:t>
      </w:r>
      <w:r>
        <w:rPr>
          <w:rFonts w:ascii="Times New Roman" w:hAnsi="Times New Roman" w:cs="Times New Roman"/>
          <w:sz w:val="24"/>
        </w:rPr>
        <w:t xml:space="preserve">  terletak  lebih  apikal  dibandingkan  puncak  tulang alveolar.  </w:t>
      </w:r>
      <w:r>
        <w:rPr>
          <w:rFonts w:ascii="Times New Roman" w:hAnsi="Times New Roman" w:cs="Times New Roman"/>
          <w:i/>
          <w:sz w:val="24"/>
        </w:rPr>
        <w:t>Pocket</w:t>
      </w:r>
      <w:r>
        <w:rPr>
          <w:rFonts w:ascii="Times New Roman" w:hAnsi="Times New Roman" w:cs="Times New Roman"/>
          <w:sz w:val="24"/>
        </w:rPr>
        <w:t xml:space="preserve">  dalam  memiliki  kedalaman  sudah  lebih  dari  5,5  milimeter,  area berwarna pada </w:t>
      </w:r>
      <w:r>
        <w:rPr>
          <w:rFonts w:ascii="Times New Roman" w:hAnsi="Times New Roman" w:cs="Times New Roman"/>
          <w:i/>
          <w:sz w:val="24"/>
        </w:rPr>
        <w:t>probe</w:t>
      </w:r>
      <w:r>
        <w:rPr>
          <w:rFonts w:ascii="Times New Roman" w:hAnsi="Times New Roman" w:cs="Times New Roman"/>
          <w:sz w:val="24"/>
        </w:rPr>
        <w:t xml:space="preserve"> masuk semuanya ke dalam saku gusi (Putri., 2012).</w:t>
      </w:r>
    </w:p>
    <w:p w:rsidR="00BF2BB0" w:rsidRDefault="00BF2BB0" w:rsidP="00BF2BB0">
      <w:pPr>
        <w:spacing w:line="480" w:lineRule="auto"/>
        <w:ind w:firstLine="720"/>
        <w:jc w:val="center"/>
        <w:rPr>
          <w:rFonts w:ascii="Times New Roman" w:hAnsi="Times New Roman" w:cs="Times New Roman"/>
          <w:b/>
          <w:sz w:val="24"/>
        </w:rPr>
      </w:pPr>
    </w:p>
    <w:p w:rsidR="00BF2BB0" w:rsidRDefault="00BF2BB0" w:rsidP="00BF2BB0">
      <w:pPr>
        <w:spacing w:line="480" w:lineRule="auto"/>
        <w:ind w:firstLine="720"/>
        <w:jc w:val="center"/>
        <w:rPr>
          <w:rFonts w:ascii="Times New Roman" w:hAnsi="Times New Roman" w:cs="Times New Roman"/>
          <w:b/>
          <w:sz w:val="24"/>
        </w:rPr>
      </w:pPr>
    </w:p>
    <w:p w:rsidR="00BF2BB0" w:rsidRDefault="00BF2BB0" w:rsidP="00BF2BB0">
      <w:pPr>
        <w:spacing w:line="480" w:lineRule="auto"/>
        <w:ind w:firstLine="720"/>
        <w:jc w:val="center"/>
        <w:rPr>
          <w:rFonts w:ascii="Times New Roman" w:hAnsi="Times New Roman" w:cs="Times New Roman"/>
          <w:b/>
          <w:sz w:val="24"/>
        </w:rPr>
      </w:pPr>
    </w:p>
    <w:p w:rsidR="00BF2BB0" w:rsidRDefault="00BF2BB0" w:rsidP="00BF2BB0">
      <w:pPr>
        <w:spacing w:line="480" w:lineRule="auto"/>
        <w:ind w:firstLine="720"/>
        <w:rPr>
          <w:rFonts w:ascii="Times New Roman" w:hAnsi="Times New Roman" w:cs="Times New Roman"/>
          <w:b/>
          <w:sz w:val="24"/>
        </w:rPr>
      </w:pPr>
      <w:r>
        <w:rPr>
          <w:rFonts w:ascii="Times New Roman" w:hAnsi="Times New Roman" w:cs="Times New Roman"/>
          <w:b/>
          <w:sz w:val="24"/>
        </w:rPr>
        <w:t>Tabel 2.1 Tingkat Kondisi Jaringan Periodontal</w:t>
      </w:r>
    </w:p>
    <w:tbl>
      <w:tblPr>
        <w:tblW w:w="6722" w:type="dxa"/>
        <w:tblInd w:w="-5" w:type="dxa"/>
        <w:tblBorders>
          <w:insideH w:val="single" w:sz="4" w:space="0" w:color="auto"/>
        </w:tblBorders>
        <w:tblLook w:val="04A0" w:firstRow="1" w:lastRow="0" w:firstColumn="1" w:lastColumn="0" w:noHBand="0" w:noVBand="1"/>
      </w:tblPr>
      <w:tblGrid>
        <w:gridCol w:w="2103"/>
        <w:gridCol w:w="4619"/>
      </w:tblGrid>
      <w:tr w:rsidR="00BF2BB0" w:rsidTr="00E613FD">
        <w:tc>
          <w:tcPr>
            <w:tcW w:w="2103" w:type="dxa"/>
          </w:tcPr>
          <w:p w:rsidR="00BF2BB0" w:rsidRDefault="00BF2BB0" w:rsidP="00E613FD">
            <w:pPr>
              <w:pStyle w:val="ListParagraph"/>
              <w:ind w:left="0"/>
              <w:jc w:val="center"/>
              <w:rPr>
                <w:rFonts w:ascii="Times New Roman" w:hAnsi="Times New Roman" w:cs="Times New Roman"/>
                <w:b/>
              </w:rPr>
            </w:pPr>
            <w:r>
              <w:rPr>
                <w:rFonts w:ascii="Times New Roman" w:hAnsi="Times New Roman" w:cs="Times New Roman"/>
                <w:b/>
              </w:rPr>
              <w:t>Nilai/Skor</w:t>
            </w:r>
          </w:p>
        </w:tc>
        <w:tc>
          <w:tcPr>
            <w:tcW w:w="4619" w:type="dxa"/>
          </w:tcPr>
          <w:p w:rsidR="00BF2BB0" w:rsidRDefault="00BF2BB0" w:rsidP="00E613FD">
            <w:pPr>
              <w:pStyle w:val="ListParagraph"/>
              <w:ind w:left="0"/>
              <w:jc w:val="center"/>
              <w:rPr>
                <w:rFonts w:ascii="Times New Roman" w:hAnsi="Times New Roman" w:cs="Times New Roman"/>
                <w:b/>
              </w:rPr>
            </w:pPr>
            <w:r>
              <w:rPr>
                <w:rFonts w:ascii="Times New Roman" w:hAnsi="Times New Roman" w:cs="Times New Roman"/>
                <w:b/>
              </w:rPr>
              <w:t>Kondisi Jaringan Periodontal</w:t>
            </w:r>
          </w:p>
        </w:tc>
      </w:tr>
      <w:tr w:rsidR="00BF2BB0" w:rsidTr="00E613FD">
        <w:tc>
          <w:tcPr>
            <w:tcW w:w="2103"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0</w:t>
            </w:r>
          </w:p>
        </w:tc>
        <w:tc>
          <w:tcPr>
            <w:tcW w:w="4619"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Sehat</w:t>
            </w:r>
          </w:p>
        </w:tc>
      </w:tr>
      <w:tr w:rsidR="00BF2BB0" w:rsidTr="00E613FD">
        <w:tc>
          <w:tcPr>
            <w:tcW w:w="2103"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1</w:t>
            </w:r>
          </w:p>
        </w:tc>
        <w:tc>
          <w:tcPr>
            <w:tcW w:w="4619"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Berdarah pada gusi</w:t>
            </w:r>
          </w:p>
        </w:tc>
      </w:tr>
      <w:tr w:rsidR="00BF2BB0" w:rsidTr="00E613FD">
        <w:tc>
          <w:tcPr>
            <w:tcW w:w="2103"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2</w:t>
            </w:r>
          </w:p>
        </w:tc>
        <w:tc>
          <w:tcPr>
            <w:tcW w:w="4619"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Ada karang gigi subgingiva</w:t>
            </w:r>
          </w:p>
        </w:tc>
      </w:tr>
      <w:tr w:rsidR="00BF2BB0" w:rsidTr="00E613FD">
        <w:tc>
          <w:tcPr>
            <w:tcW w:w="2103"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3</w:t>
            </w:r>
          </w:p>
        </w:tc>
        <w:tc>
          <w:tcPr>
            <w:tcW w:w="4619"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Pocket dangkal (3,5-5,5 mm)</w:t>
            </w:r>
          </w:p>
        </w:tc>
      </w:tr>
      <w:tr w:rsidR="00BF2BB0" w:rsidTr="00E613FD">
        <w:tc>
          <w:tcPr>
            <w:tcW w:w="2103"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4</w:t>
            </w:r>
          </w:p>
        </w:tc>
        <w:tc>
          <w:tcPr>
            <w:tcW w:w="4619" w:type="dxa"/>
          </w:tcPr>
          <w:p w:rsidR="00BF2BB0" w:rsidRDefault="00BF2BB0" w:rsidP="00E613FD">
            <w:pPr>
              <w:pStyle w:val="ListParagraph"/>
              <w:ind w:left="0"/>
              <w:jc w:val="center"/>
              <w:rPr>
                <w:rFonts w:ascii="Times New Roman" w:hAnsi="Times New Roman" w:cs="Times New Roman"/>
              </w:rPr>
            </w:pPr>
            <w:r>
              <w:rPr>
                <w:rFonts w:ascii="Times New Roman" w:hAnsi="Times New Roman" w:cs="Times New Roman"/>
              </w:rPr>
              <w:t>Pocket dalam (lebih dari 5,5 mm)</w:t>
            </w:r>
          </w:p>
        </w:tc>
      </w:tr>
    </w:tbl>
    <w:p w:rsidR="00BF2BB0" w:rsidRDefault="00BF2BB0" w:rsidP="00BF2BB0">
      <w:pPr>
        <w:spacing w:line="240" w:lineRule="auto"/>
        <w:ind w:left="300"/>
        <w:jc w:val="center"/>
        <w:rPr>
          <w:rFonts w:ascii="Times New Roman" w:hAnsi="Times New Roman" w:cs="Times New Roman"/>
          <w:b/>
        </w:rPr>
      </w:pPr>
    </w:p>
    <w:p w:rsidR="00BF2BB0" w:rsidRDefault="00BF2BB0" w:rsidP="00BF2BB0">
      <w:pPr>
        <w:spacing w:line="240" w:lineRule="auto"/>
        <w:ind w:left="300"/>
        <w:jc w:val="center"/>
        <w:rPr>
          <w:rFonts w:ascii="Times New Roman" w:hAnsi="Times New Roman" w:cs="Times New Roman"/>
          <w:b/>
        </w:rPr>
      </w:pPr>
      <w:r>
        <w:rPr>
          <w:rFonts w:ascii="Times New Roman" w:hAnsi="Times New Roman" w:cs="Times New Roman"/>
          <w:b/>
        </w:rPr>
        <w:t>Sumber :  Putri,  (2012)  Ilmu  Pencegahan  Penyakit  Jaringan  Keras dan     Jaringan Pendukung gigi.</w:t>
      </w:r>
    </w:p>
    <w:p w:rsidR="00BF2BB0" w:rsidRDefault="00BF2BB0" w:rsidP="00BF2BB0">
      <w:pPr>
        <w:spacing w:line="240" w:lineRule="auto"/>
        <w:ind w:left="300"/>
        <w:jc w:val="center"/>
        <w:rPr>
          <w:rFonts w:ascii="Times New Roman" w:hAnsi="Times New Roman" w:cs="Times New Roman"/>
          <w:b/>
        </w:rPr>
      </w:pPr>
    </w:p>
    <w:p w:rsidR="00BF2BB0" w:rsidRDefault="00BF2BB0" w:rsidP="00BF2BB0">
      <w:pPr>
        <w:spacing w:line="240" w:lineRule="auto"/>
        <w:ind w:left="300"/>
        <w:jc w:val="center"/>
        <w:rPr>
          <w:rFonts w:ascii="Times New Roman" w:hAnsi="Times New Roman" w:cs="Times New Roman"/>
          <w:b/>
        </w:rPr>
      </w:pPr>
    </w:p>
    <w:p w:rsidR="00BF2BB0" w:rsidRDefault="00BF2BB0" w:rsidP="00BF2BB0">
      <w:pPr>
        <w:spacing w:line="240" w:lineRule="auto"/>
        <w:ind w:left="300"/>
        <w:jc w:val="center"/>
        <w:rPr>
          <w:rFonts w:ascii="Times New Roman" w:hAnsi="Times New Roman" w:cs="Times New Roman"/>
          <w:b/>
          <w:sz w:val="24"/>
          <w:szCs w:val="24"/>
        </w:rPr>
      </w:pPr>
    </w:p>
    <w:p w:rsidR="00BF2BB0" w:rsidRDefault="00BF2BB0" w:rsidP="00BF2BB0">
      <w:pPr>
        <w:spacing w:line="240" w:lineRule="auto"/>
        <w:ind w:left="300"/>
        <w:jc w:val="center"/>
        <w:rPr>
          <w:rFonts w:ascii="Times New Roman" w:hAnsi="Times New Roman" w:cs="Times New Roman"/>
          <w:b/>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p>
    <w:p w:rsidR="00BF2BB0" w:rsidRDefault="00BF2BB0" w:rsidP="00BF2BB0">
      <w:pPr>
        <w:spacing w:line="480" w:lineRule="auto"/>
        <w:rPr>
          <w:rFonts w:ascii="Times New Roman" w:hAnsi="Times New Roman" w:cs="Times New Roman"/>
          <w:b/>
          <w:sz w:val="24"/>
        </w:rPr>
      </w:pPr>
    </w:p>
    <w:p w:rsidR="00BF2BB0" w:rsidRDefault="00BF2BB0" w:rsidP="00BF2BB0">
      <w:pPr>
        <w:spacing w:line="480" w:lineRule="auto"/>
        <w:ind w:left="720"/>
        <w:jc w:val="center"/>
        <w:rPr>
          <w:rFonts w:ascii="Times New Roman" w:hAnsi="Times New Roman" w:cs="Times New Roman"/>
          <w:b/>
          <w:sz w:val="24"/>
        </w:rPr>
      </w:pPr>
      <w:bookmarkStart w:id="72" w:name="_Hlk96890260"/>
      <w:r>
        <w:rPr>
          <w:rFonts w:ascii="Times New Roman" w:hAnsi="Times New Roman" w:cs="Times New Roman"/>
          <w:b/>
          <w:sz w:val="24"/>
        </w:rPr>
        <w:t>Tabel 2.2</w:t>
      </w:r>
    </w:p>
    <w:tbl>
      <w:tblPr>
        <w:tblpPr w:leftFromText="180" w:rightFromText="180" w:vertAnchor="text" w:horzAnchor="margin" w:tblpY="459"/>
        <w:tblW w:w="8057" w:type="dxa"/>
        <w:tblBorders>
          <w:insideH w:val="single" w:sz="4" w:space="0" w:color="auto"/>
        </w:tblBorders>
        <w:tblLook w:val="04A0" w:firstRow="1" w:lastRow="0" w:firstColumn="1" w:lastColumn="0" w:noHBand="0" w:noVBand="1"/>
      </w:tblPr>
      <w:tblGrid>
        <w:gridCol w:w="2340"/>
        <w:gridCol w:w="1236"/>
        <w:gridCol w:w="1536"/>
        <w:gridCol w:w="1283"/>
        <w:gridCol w:w="1662"/>
      </w:tblGrid>
      <w:tr w:rsidR="00BF2BB0" w:rsidTr="00E613FD">
        <w:trPr>
          <w:trHeight w:val="933"/>
        </w:trPr>
        <w:tc>
          <w:tcPr>
            <w:tcW w:w="2353" w:type="dxa"/>
          </w:tcPr>
          <w:p w:rsidR="00BF2BB0" w:rsidRDefault="00BF2BB0" w:rsidP="00E613FD">
            <w:pPr>
              <w:spacing w:line="480" w:lineRule="auto"/>
              <w:jc w:val="center"/>
              <w:rPr>
                <w:rFonts w:ascii="Times New Roman" w:hAnsi="Times New Roman" w:cs="Times New Roman"/>
                <w:b/>
                <w:sz w:val="24"/>
              </w:rPr>
            </w:pPr>
            <w:r>
              <w:rPr>
                <w:rFonts w:ascii="Times New Roman" w:hAnsi="Times New Roman" w:cs="Times New Roman"/>
                <w:b/>
                <w:sz w:val="24"/>
              </w:rPr>
              <w:t>Kondisi</w:t>
            </w:r>
          </w:p>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b/>
                <w:sz w:val="24"/>
              </w:rPr>
              <w:t>Periodontal</w:t>
            </w:r>
          </w:p>
        </w:tc>
        <w:tc>
          <w:tcPr>
            <w:tcW w:w="1239" w:type="dxa"/>
          </w:tcPr>
          <w:p w:rsidR="00BF2BB0" w:rsidRDefault="00BF2BB0" w:rsidP="00E613FD">
            <w:pPr>
              <w:spacing w:line="480" w:lineRule="auto"/>
              <w:jc w:val="center"/>
              <w:rPr>
                <w:rFonts w:ascii="Times New Roman" w:hAnsi="Times New Roman" w:cs="Times New Roman"/>
                <w:b/>
                <w:sz w:val="24"/>
              </w:rPr>
            </w:pPr>
            <w:r>
              <w:rPr>
                <w:rFonts w:ascii="Times New Roman" w:hAnsi="Times New Roman" w:cs="Times New Roman"/>
                <w:b/>
                <w:sz w:val="24"/>
              </w:rPr>
              <w:t>Skor</w:t>
            </w:r>
          </w:p>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b/>
                <w:sz w:val="24"/>
              </w:rPr>
              <w:t>CPITN</w:t>
            </w:r>
          </w:p>
        </w:tc>
        <w:tc>
          <w:tcPr>
            <w:tcW w:w="1539" w:type="dxa"/>
          </w:tcPr>
          <w:p w:rsidR="00BF2BB0" w:rsidRDefault="00BF2BB0" w:rsidP="00E613FD">
            <w:pPr>
              <w:spacing w:line="480" w:lineRule="auto"/>
              <w:jc w:val="center"/>
              <w:rPr>
                <w:rFonts w:ascii="Times New Roman" w:hAnsi="Times New Roman" w:cs="Times New Roman"/>
                <w:b/>
                <w:sz w:val="24"/>
              </w:rPr>
            </w:pPr>
            <w:r>
              <w:rPr>
                <w:rFonts w:ascii="Times New Roman" w:hAnsi="Times New Roman" w:cs="Times New Roman"/>
                <w:b/>
                <w:sz w:val="24"/>
              </w:rPr>
              <w:t>KKP</w:t>
            </w:r>
          </w:p>
        </w:tc>
        <w:tc>
          <w:tcPr>
            <w:tcW w:w="1263" w:type="dxa"/>
          </w:tcPr>
          <w:p w:rsidR="00BF2BB0" w:rsidRDefault="00BF2BB0" w:rsidP="00E613FD">
            <w:pPr>
              <w:spacing w:line="480" w:lineRule="auto"/>
              <w:jc w:val="center"/>
              <w:rPr>
                <w:rFonts w:ascii="Times New Roman" w:hAnsi="Times New Roman" w:cs="Times New Roman"/>
                <w:b/>
                <w:sz w:val="24"/>
              </w:rPr>
            </w:pPr>
            <w:r>
              <w:rPr>
                <w:rFonts w:ascii="Times New Roman" w:hAnsi="Times New Roman" w:cs="Times New Roman"/>
                <w:b/>
                <w:sz w:val="24"/>
              </w:rPr>
              <w:t>Tipe</w:t>
            </w:r>
          </w:p>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b/>
                <w:sz w:val="24"/>
              </w:rPr>
              <w:t>Pelayanan</w:t>
            </w:r>
          </w:p>
        </w:tc>
        <w:tc>
          <w:tcPr>
            <w:tcW w:w="1663" w:type="dxa"/>
          </w:tcPr>
          <w:p w:rsidR="00BF2BB0" w:rsidRDefault="00BF2BB0" w:rsidP="00E613FD">
            <w:pPr>
              <w:spacing w:line="480" w:lineRule="auto"/>
              <w:jc w:val="center"/>
              <w:rPr>
                <w:rFonts w:ascii="Times New Roman" w:hAnsi="Times New Roman" w:cs="Times New Roman"/>
                <w:b/>
                <w:sz w:val="24"/>
              </w:rPr>
            </w:pPr>
            <w:r>
              <w:rPr>
                <w:rFonts w:ascii="Times New Roman" w:hAnsi="Times New Roman" w:cs="Times New Roman"/>
                <w:b/>
                <w:sz w:val="24"/>
              </w:rPr>
              <w:t>Tenaga</w:t>
            </w:r>
          </w:p>
        </w:tc>
      </w:tr>
      <w:tr w:rsidR="00BF2BB0" w:rsidTr="00E613FD">
        <w:trPr>
          <w:trHeight w:val="466"/>
        </w:trPr>
        <w:tc>
          <w:tcPr>
            <w:tcW w:w="235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Sehat</w:t>
            </w:r>
          </w:p>
        </w:tc>
        <w:tc>
          <w:tcPr>
            <w:tcW w:w="12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0</w:t>
            </w:r>
          </w:p>
        </w:tc>
        <w:tc>
          <w:tcPr>
            <w:tcW w:w="15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Tidak ada</w:t>
            </w:r>
          </w:p>
        </w:tc>
        <w:tc>
          <w:tcPr>
            <w:tcW w:w="126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0</w:t>
            </w:r>
          </w:p>
        </w:tc>
        <w:tc>
          <w:tcPr>
            <w:tcW w:w="1663" w:type="dxa"/>
          </w:tcPr>
          <w:p w:rsidR="00BF2BB0" w:rsidRDefault="00BF2BB0" w:rsidP="00E613FD">
            <w:pPr>
              <w:spacing w:line="480" w:lineRule="auto"/>
              <w:rPr>
                <w:rFonts w:ascii="Times New Roman" w:hAnsi="Times New Roman" w:cs="Times New Roman"/>
                <w:sz w:val="24"/>
              </w:rPr>
            </w:pPr>
            <w:r>
              <w:rPr>
                <w:rFonts w:ascii="Times New Roman" w:hAnsi="Times New Roman" w:cs="Times New Roman"/>
                <w:sz w:val="24"/>
              </w:rPr>
              <w:t>Tidak ada</w:t>
            </w:r>
          </w:p>
        </w:tc>
      </w:tr>
      <w:tr w:rsidR="00BF2BB0" w:rsidTr="00E613FD">
        <w:trPr>
          <w:trHeight w:val="933"/>
        </w:trPr>
        <w:tc>
          <w:tcPr>
            <w:tcW w:w="235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Radang Gusi</w:t>
            </w:r>
          </w:p>
        </w:tc>
        <w:tc>
          <w:tcPr>
            <w:tcW w:w="12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1</w:t>
            </w:r>
          </w:p>
        </w:tc>
        <w:tc>
          <w:tcPr>
            <w:tcW w:w="15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EIKM</w:t>
            </w:r>
          </w:p>
        </w:tc>
        <w:tc>
          <w:tcPr>
            <w:tcW w:w="126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I</w:t>
            </w:r>
          </w:p>
        </w:tc>
        <w:tc>
          <w:tcPr>
            <w:tcW w:w="1663" w:type="dxa"/>
          </w:tcPr>
          <w:p w:rsidR="00BF2BB0" w:rsidRDefault="00BF2BB0" w:rsidP="00E613FD">
            <w:pPr>
              <w:spacing w:line="480" w:lineRule="auto"/>
              <w:rPr>
                <w:rFonts w:ascii="Times New Roman" w:hAnsi="Times New Roman" w:cs="Times New Roman"/>
                <w:sz w:val="24"/>
              </w:rPr>
            </w:pPr>
            <w:r>
              <w:rPr>
                <w:rFonts w:ascii="Times New Roman" w:hAnsi="Times New Roman" w:cs="Times New Roman"/>
                <w:sz w:val="24"/>
              </w:rPr>
              <w:t>Guru/Perawat</w:t>
            </w:r>
          </w:p>
          <w:p w:rsidR="00BF2BB0" w:rsidRDefault="00BF2BB0" w:rsidP="00E613FD">
            <w:pPr>
              <w:spacing w:line="480" w:lineRule="auto"/>
              <w:rPr>
                <w:rFonts w:ascii="Times New Roman" w:hAnsi="Times New Roman" w:cs="Times New Roman"/>
                <w:sz w:val="24"/>
              </w:rPr>
            </w:pPr>
            <w:r>
              <w:rPr>
                <w:rFonts w:ascii="Times New Roman" w:hAnsi="Times New Roman" w:cs="Times New Roman"/>
                <w:sz w:val="24"/>
              </w:rPr>
              <w:t>Gigi</w:t>
            </w:r>
          </w:p>
        </w:tc>
      </w:tr>
      <w:tr w:rsidR="00BF2BB0" w:rsidTr="00E613FD">
        <w:trPr>
          <w:trHeight w:val="933"/>
        </w:trPr>
        <w:tc>
          <w:tcPr>
            <w:tcW w:w="235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Karang Gigi</w:t>
            </w:r>
          </w:p>
        </w:tc>
        <w:tc>
          <w:tcPr>
            <w:tcW w:w="12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2</w:t>
            </w:r>
          </w:p>
        </w:tc>
        <w:tc>
          <w:tcPr>
            <w:tcW w:w="15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EIKM+SK</w:t>
            </w:r>
          </w:p>
        </w:tc>
        <w:tc>
          <w:tcPr>
            <w:tcW w:w="126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II</w:t>
            </w:r>
          </w:p>
        </w:tc>
        <w:tc>
          <w:tcPr>
            <w:tcW w:w="1663" w:type="dxa"/>
          </w:tcPr>
          <w:p w:rsidR="00BF2BB0" w:rsidRDefault="00BF2BB0" w:rsidP="00E613FD">
            <w:pPr>
              <w:spacing w:line="480" w:lineRule="auto"/>
              <w:rPr>
                <w:rFonts w:ascii="Times New Roman" w:hAnsi="Times New Roman" w:cs="Times New Roman"/>
                <w:sz w:val="24"/>
              </w:rPr>
            </w:pPr>
            <w:r>
              <w:rPr>
                <w:rFonts w:ascii="Times New Roman" w:hAnsi="Times New Roman" w:cs="Times New Roman"/>
                <w:sz w:val="24"/>
              </w:rPr>
              <w:t>Perawat gigi/Dokter gigi</w:t>
            </w:r>
          </w:p>
        </w:tc>
      </w:tr>
      <w:tr w:rsidR="00BF2BB0" w:rsidTr="00E613FD">
        <w:trPr>
          <w:trHeight w:val="933"/>
        </w:trPr>
        <w:tc>
          <w:tcPr>
            <w:tcW w:w="235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lastRenderedPageBreak/>
              <w:t>Pocket Dangkal</w:t>
            </w:r>
          </w:p>
        </w:tc>
        <w:tc>
          <w:tcPr>
            <w:tcW w:w="12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3</w:t>
            </w:r>
          </w:p>
        </w:tc>
        <w:tc>
          <w:tcPr>
            <w:tcW w:w="15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EIKM+SK</w:t>
            </w:r>
          </w:p>
        </w:tc>
        <w:tc>
          <w:tcPr>
            <w:tcW w:w="126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II</w:t>
            </w:r>
          </w:p>
        </w:tc>
        <w:tc>
          <w:tcPr>
            <w:tcW w:w="1663" w:type="dxa"/>
          </w:tcPr>
          <w:p w:rsidR="00BF2BB0" w:rsidRDefault="00BF2BB0" w:rsidP="00E613FD">
            <w:pPr>
              <w:spacing w:line="480" w:lineRule="auto"/>
              <w:rPr>
                <w:rFonts w:ascii="Times New Roman" w:hAnsi="Times New Roman" w:cs="Times New Roman"/>
                <w:sz w:val="24"/>
              </w:rPr>
            </w:pPr>
            <w:r>
              <w:rPr>
                <w:rFonts w:ascii="Times New Roman" w:hAnsi="Times New Roman" w:cs="Times New Roman"/>
                <w:sz w:val="24"/>
              </w:rPr>
              <w:t>Perawat gigi/Dokter gigi</w:t>
            </w:r>
          </w:p>
        </w:tc>
      </w:tr>
      <w:tr w:rsidR="00BF2BB0" w:rsidTr="00E613FD">
        <w:trPr>
          <w:trHeight w:val="933"/>
        </w:trPr>
        <w:tc>
          <w:tcPr>
            <w:tcW w:w="235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Pocket Dalam</w:t>
            </w:r>
          </w:p>
        </w:tc>
        <w:tc>
          <w:tcPr>
            <w:tcW w:w="12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4</w:t>
            </w:r>
          </w:p>
        </w:tc>
        <w:tc>
          <w:tcPr>
            <w:tcW w:w="1539"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EIKM+PK</w:t>
            </w:r>
          </w:p>
        </w:tc>
        <w:tc>
          <w:tcPr>
            <w:tcW w:w="1263" w:type="dxa"/>
          </w:tcPr>
          <w:p w:rsidR="00BF2BB0" w:rsidRDefault="00BF2BB0" w:rsidP="00E613FD">
            <w:pPr>
              <w:spacing w:line="480" w:lineRule="auto"/>
              <w:jc w:val="center"/>
              <w:rPr>
                <w:rFonts w:ascii="Times New Roman" w:hAnsi="Times New Roman" w:cs="Times New Roman"/>
                <w:sz w:val="24"/>
              </w:rPr>
            </w:pPr>
            <w:r>
              <w:rPr>
                <w:rFonts w:ascii="Times New Roman" w:hAnsi="Times New Roman" w:cs="Times New Roman"/>
                <w:sz w:val="24"/>
              </w:rPr>
              <w:t>III</w:t>
            </w:r>
          </w:p>
        </w:tc>
        <w:tc>
          <w:tcPr>
            <w:tcW w:w="1663" w:type="dxa"/>
          </w:tcPr>
          <w:p w:rsidR="00BF2BB0" w:rsidRDefault="00BF2BB0" w:rsidP="00E613FD">
            <w:pPr>
              <w:spacing w:line="480" w:lineRule="auto"/>
              <w:rPr>
                <w:rFonts w:ascii="Times New Roman" w:hAnsi="Times New Roman" w:cs="Times New Roman"/>
                <w:sz w:val="24"/>
              </w:rPr>
            </w:pPr>
            <w:r>
              <w:rPr>
                <w:rFonts w:ascii="Times New Roman" w:hAnsi="Times New Roman" w:cs="Times New Roman"/>
                <w:sz w:val="24"/>
              </w:rPr>
              <w:t>Dokter gigi/Spesialis</w:t>
            </w:r>
          </w:p>
        </w:tc>
      </w:tr>
    </w:tbl>
    <w:p w:rsidR="00BF2BB0" w:rsidRDefault="00BF2BB0" w:rsidP="00BF2BB0">
      <w:pPr>
        <w:spacing w:line="480" w:lineRule="auto"/>
        <w:ind w:left="720"/>
        <w:jc w:val="center"/>
        <w:rPr>
          <w:rFonts w:ascii="Times New Roman" w:hAnsi="Times New Roman" w:cs="Times New Roman"/>
          <w:b/>
          <w:sz w:val="24"/>
        </w:rPr>
      </w:pPr>
      <w:r>
        <w:rPr>
          <w:rFonts w:ascii="Times New Roman" w:hAnsi="Times New Roman" w:cs="Times New Roman"/>
          <w:b/>
          <w:sz w:val="24"/>
        </w:rPr>
        <w:lastRenderedPageBreak/>
        <w:t>Relasi CPITN Dengan Tipe Pelayanan Dan Tenaga</w:t>
      </w:r>
    </w:p>
    <w:p w:rsidR="00BF2BB0" w:rsidRDefault="00BF2BB0" w:rsidP="00BF2BB0">
      <w:pPr>
        <w:spacing w:line="240" w:lineRule="auto"/>
        <w:jc w:val="center"/>
        <w:rPr>
          <w:rFonts w:ascii="Times New Roman" w:hAnsi="Times New Roman" w:cs="Times New Roman"/>
          <w:b/>
        </w:rPr>
      </w:pPr>
      <w:bookmarkStart w:id="73" w:name="_Hlk96890640"/>
      <w:r>
        <w:rPr>
          <w:rFonts w:ascii="Times New Roman" w:hAnsi="Times New Roman" w:cs="Times New Roman"/>
          <w:b/>
        </w:rPr>
        <w:t xml:space="preserve">Sumber :  Putri,  (2012)  Ilmu  Pencegahan  Penyakit  Jaringan  Keras  dan  </w:t>
      </w:r>
    </w:p>
    <w:p w:rsidR="00BF2BB0" w:rsidRDefault="00BF2BB0" w:rsidP="00BF2BB0">
      <w:pPr>
        <w:spacing w:line="240" w:lineRule="auto"/>
        <w:jc w:val="center"/>
        <w:rPr>
          <w:rFonts w:ascii="Times New Roman" w:hAnsi="Times New Roman" w:cs="Times New Roman"/>
          <w:b/>
        </w:rPr>
      </w:pPr>
      <w:r>
        <w:rPr>
          <w:rFonts w:ascii="Times New Roman" w:hAnsi="Times New Roman" w:cs="Times New Roman"/>
          <w:b/>
        </w:rPr>
        <w:t>Jaringan Pendukung Gigi</w:t>
      </w:r>
      <w:bookmarkEnd w:id="73"/>
    </w:p>
    <w:p w:rsidR="00BF2BB0" w:rsidRDefault="00BF2BB0" w:rsidP="00BF2BB0">
      <w:pPr>
        <w:spacing w:line="480" w:lineRule="auto"/>
        <w:rPr>
          <w:rFonts w:ascii="Times New Roman" w:hAnsi="Times New Roman" w:cs="Times New Roman"/>
          <w:sz w:val="24"/>
        </w:rPr>
      </w:pPr>
      <w:r>
        <w:rPr>
          <w:rFonts w:ascii="Times New Roman" w:hAnsi="Times New Roman" w:cs="Times New Roman"/>
          <w:sz w:val="24"/>
        </w:rPr>
        <w:t>Keterangan :</w:t>
      </w:r>
    </w:p>
    <w:p w:rsidR="00BF2BB0" w:rsidRDefault="00BF2BB0" w:rsidP="00BF2BB0">
      <w:pPr>
        <w:spacing w:line="480" w:lineRule="auto"/>
        <w:rPr>
          <w:rFonts w:ascii="Times New Roman" w:hAnsi="Times New Roman" w:cs="Times New Roman"/>
          <w:sz w:val="24"/>
        </w:rPr>
      </w:pPr>
      <w:r>
        <w:rPr>
          <w:rFonts w:ascii="Times New Roman" w:hAnsi="Times New Roman" w:cs="Times New Roman"/>
          <w:sz w:val="24"/>
        </w:rPr>
        <w:lastRenderedPageBreak/>
        <w:t>KKP = Kategori Kebutuhan Perawatan             SK = Scaling</w:t>
      </w:r>
    </w:p>
    <w:p w:rsidR="00BF2BB0" w:rsidRDefault="00BF2BB0" w:rsidP="00BF2BB0">
      <w:pPr>
        <w:spacing w:line="480" w:lineRule="auto"/>
        <w:rPr>
          <w:rFonts w:ascii="Times New Roman" w:hAnsi="Times New Roman" w:cs="Times New Roman"/>
          <w:sz w:val="24"/>
        </w:rPr>
      </w:pPr>
      <w:r>
        <w:rPr>
          <w:rFonts w:ascii="Times New Roman" w:hAnsi="Times New Roman" w:cs="Times New Roman"/>
          <w:sz w:val="24"/>
        </w:rPr>
        <w:t>EIKM  = Edukasi, Intruksi Kesehatan Mulut</w:t>
      </w:r>
      <w:r>
        <w:rPr>
          <w:rFonts w:ascii="Times New Roman" w:hAnsi="Times New Roman" w:cs="Times New Roman"/>
          <w:sz w:val="24"/>
        </w:rPr>
        <w:tab/>
        <w:t xml:space="preserve">    PK = Perawatan Kompleks</w:t>
      </w:r>
    </w:p>
    <w:p w:rsidR="00BF2BB0" w:rsidRDefault="00BF2BB0" w:rsidP="00BF2BB0">
      <w:pPr>
        <w:spacing w:line="480" w:lineRule="auto"/>
        <w:rPr>
          <w:rFonts w:ascii="Times New Roman" w:hAnsi="Times New Roman" w:cs="Times New Roman"/>
          <w:sz w:val="24"/>
        </w:rPr>
      </w:pPr>
    </w:p>
    <w:p w:rsidR="00BF2BB0" w:rsidRDefault="00BF2BB0" w:rsidP="00BF2BB0">
      <w:pPr>
        <w:pStyle w:val="Heading2"/>
        <w:numPr>
          <w:ilvl w:val="2"/>
          <w:numId w:val="11"/>
        </w:numPr>
        <w:ind w:left="0" w:firstLine="0"/>
        <w:rPr>
          <w:b w:val="0"/>
        </w:rPr>
      </w:pPr>
      <w:bookmarkStart w:id="74" w:name="_Toc90275205"/>
      <w:bookmarkStart w:id="75" w:name="_Toc90334427"/>
      <w:bookmarkStart w:id="76" w:name="_Toc90633150"/>
      <w:bookmarkStart w:id="77" w:name="_Toc90634050"/>
      <w:bookmarkStart w:id="78" w:name="_Toc90734465"/>
      <w:bookmarkStart w:id="79" w:name="_Toc90735119"/>
      <w:bookmarkStart w:id="80" w:name="_Toc94015948"/>
      <w:bookmarkStart w:id="81" w:name="_Toc94016209"/>
      <w:bookmarkStart w:id="82" w:name="_Toc95743754"/>
      <w:bookmarkStart w:id="83" w:name="_Toc102060777"/>
      <w:bookmarkEnd w:id="72"/>
      <w:r>
        <w:rPr>
          <w:rStyle w:val="Heading2Char"/>
          <w:b/>
        </w:rPr>
        <w:t>Prajurit Tentara Nasional Indonesia (TNI)</w:t>
      </w:r>
      <w:bookmarkEnd w:id="74"/>
      <w:bookmarkEnd w:id="75"/>
      <w:bookmarkEnd w:id="76"/>
      <w:bookmarkEnd w:id="77"/>
      <w:bookmarkEnd w:id="78"/>
      <w:bookmarkEnd w:id="79"/>
      <w:bookmarkEnd w:id="80"/>
      <w:bookmarkEnd w:id="81"/>
      <w:bookmarkEnd w:id="82"/>
      <w:bookmarkEnd w:id="83"/>
    </w:p>
    <w:p w:rsidR="00BF2BB0" w:rsidRDefault="00BF2BB0" w:rsidP="00BF2BB0">
      <w:pPr>
        <w:pStyle w:val="Heading3"/>
        <w:numPr>
          <w:ilvl w:val="0"/>
          <w:numId w:val="15"/>
        </w:numPr>
      </w:pPr>
      <w:bookmarkStart w:id="84" w:name="_Toc90275206"/>
      <w:bookmarkStart w:id="85" w:name="_Toc90334428"/>
      <w:bookmarkStart w:id="86" w:name="_Toc90633151"/>
      <w:bookmarkStart w:id="87" w:name="_Toc90634051"/>
      <w:bookmarkStart w:id="88" w:name="_Toc90734466"/>
      <w:bookmarkStart w:id="89" w:name="_Toc90735120"/>
      <w:bookmarkStart w:id="90" w:name="_Toc94015949"/>
      <w:bookmarkStart w:id="91" w:name="_Toc94016210"/>
      <w:bookmarkStart w:id="92" w:name="_Toc95743755"/>
      <w:bookmarkStart w:id="93" w:name="_Toc102060778"/>
      <w:r>
        <w:t>Pengertian Prajurit Tentara Nasional Indonesia (TNI)</w:t>
      </w:r>
      <w:bookmarkEnd w:id="84"/>
      <w:bookmarkEnd w:id="85"/>
      <w:bookmarkEnd w:id="86"/>
      <w:bookmarkEnd w:id="87"/>
      <w:bookmarkEnd w:id="88"/>
      <w:bookmarkEnd w:id="89"/>
      <w:bookmarkEnd w:id="90"/>
      <w:bookmarkEnd w:id="91"/>
      <w:bookmarkEnd w:id="92"/>
      <w:bookmarkEnd w:id="93"/>
    </w:p>
    <w:p w:rsidR="00BF2BB0" w:rsidRDefault="00BF2BB0" w:rsidP="00BF2BB0">
      <w:pPr>
        <w:spacing w:line="480" w:lineRule="auto"/>
        <w:ind w:left="450" w:firstLine="360"/>
        <w:jc w:val="both"/>
        <w:rPr>
          <w:rFonts w:ascii="Times New Roman" w:hAnsi="Times New Roman" w:cs="Times New Roman"/>
          <w:sz w:val="24"/>
          <w:lang w:val="id-ID"/>
        </w:rPr>
      </w:pPr>
      <w:r>
        <w:rPr>
          <w:rFonts w:ascii="Times New Roman" w:hAnsi="Times New Roman" w:cs="Times New Roman"/>
          <w:sz w:val="24"/>
          <w:lang w:val="id-ID"/>
        </w:rPr>
        <w:t>Prajurit adalah warga negara Indonesia yang memenuhi persyaratan peraturan perundang-undangan dan diangkat untuk melaksanakan wajib militer oleh pejabat yang berwenang (Pasal 21 Undang-Undang Nomor 34 Tahun 2004). Tentara Nasional Indonesia, yang biasa disebut TNI, berfungsi sebagai alat negara di bidang pertahanan dan menjalankan tugasnya sesuai dengan kebijakan dan keputusan nasional.</w:t>
      </w:r>
    </w:p>
    <w:p w:rsidR="00BF2BB0" w:rsidRDefault="00BF2BB0" w:rsidP="00BF2BB0">
      <w:pPr>
        <w:spacing w:line="480" w:lineRule="auto"/>
        <w:ind w:left="450" w:firstLine="360"/>
        <w:jc w:val="both"/>
        <w:rPr>
          <w:rFonts w:ascii="Times New Roman" w:hAnsi="Times New Roman" w:cs="Times New Roman"/>
          <w:sz w:val="24"/>
          <w:lang w:val="id-ID"/>
        </w:rPr>
      </w:pPr>
      <w:r>
        <w:rPr>
          <w:rFonts w:ascii="Times New Roman" w:hAnsi="Times New Roman" w:cs="Times New Roman"/>
          <w:sz w:val="24"/>
        </w:rPr>
        <w:t>Prajurit TNI terdiri dari</w:t>
      </w:r>
      <w:r>
        <w:t xml:space="preserve"> </w:t>
      </w:r>
      <w:r>
        <w:rPr>
          <w:rFonts w:ascii="Times New Roman" w:hAnsi="Times New Roman" w:cs="Times New Roman"/>
          <w:sz w:val="24"/>
        </w:rPr>
        <w:t>Tentara Nasional Indonesia, yang biasa disebut TNI, berfungsi sebagai alat negara di bidang pertahanan dan menjalankan tugasnya sesuai dengan kebijakan dan keputusan nasional.gkatan Darat, Tentara Nasional Angkatan Laut dan Tentara Nasional Angkatan Udara yang melaksanakan tugasnya secara gabungan di bawah Pimpinan Panglima.</w:t>
      </w:r>
    </w:p>
    <w:p w:rsidR="00BF2BB0" w:rsidRDefault="00BF2BB0" w:rsidP="00BF2BB0">
      <w:pPr>
        <w:pStyle w:val="Heading3"/>
        <w:numPr>
          <w:ilvl w:val="0"/>
          <w:numId w:val="15"/>
        </w:numPr>
      </w:pPr>
      <w:bookmarkStart w:id="94" w:name="_Toc90275207"/>
      <w:bookmarkStart w:id="95" w:name="_Toc90334429"/>
      <w:bookmarkStart w:id="96" w:name="_Toc90633152"/>
      <w:bookmarkStart w:id="97" w:name="_Toc90634052"/>
      <w:bookmarkStart w:id="98" w:name="_Toc90734467"/>
      <w:bookmarkStart w:id="99" w:name="_Toc90735121"/>
      <w:bookmarkStart w:id="100" w:name="_Toc94015950"/>
      <w:bookmarkStart w:id="101" w:name="_Toc94016211"/>
      <w:bookmarkStart w:id="102" w:name="_Toc95743756"/>
      <w:bookmarkStart w:id="103" w:name="_Toc102060779"/>
      <w:r>
        <w:t>Fungsi TNI</w:t>
      </w:r>
      <w:bookmarkEnd w:id="94"/>
      <w:bookmarkEnd w:id="95"/>
      <w:bookmarkEnd w:id="96"/>
      <w:bookmarkEnd w:id="97"/>
      <w:bookmarkEnd w:id="98"/>
      <w:bookmarkEnd w:id="99"/>
      <w:bookmarkEnd w:id="100"/>
      <w:bookmarkEnd w:id="101"/>
      <w:bookmarkEnd w:id="102"/>
      <w:bookmarkEnd w:id="103"/>
    </w:p>
    <w:p w:rsidR="00BF2BB0" w:rsidRDefault="00BF2BB0" w:rsidP="00BF2BB0">
      <w:pPr>
        <w:spacing w:line="480" w:lineRule="auto"/>
        <w:ind w:left="540" w:firstLine="360"/>
        <w:jc w:val="both"/>
        <w:rPr>
          <w:rFonts w:ascii="Times New Roman" w:hAnsi="Times New Roman" w:cs="Times New Roman"/>
          <w:sz w:val="24"/>
        </w:rPr>
      </w:pPr>
      <w:r>
        <w:rPr>
          <w:rFonts w:ascii="Times New Roman" w:hAnsi="Times New Roman" w:cs="Times New Roman"/>
          <w:sz w:val="24"/>
        </w:rPr>
        <w:lastRenderedPageBreak/>
        <w:t xml:space="preserve">Fungsi TNI yaitu sebagai alat pertahanan negara, diantaranya sebagai penangkal terhadap setiap bentuk ancaman militer serta ancaman bersenjata dari luar maupun dalam negeri terhadap kedaulatan, keutuhan wilayah dan keselamatan bangsa. TNI merupakan komponen utama sistem pertahanan negara sebagaimana yang terdapat dalam Pasal 6 UU TNI. </w:t>
      </w:r>
    </w:p>
    <w:p w:rsidR="00BF2BB0" w:rsidRDefault="00BF2BB0" w:rsidP="00BF2BB0">
      <w:pPr>
        <w:spacing w:line="480" w:lineRule="auto"/>
        <w:ind w:left="540" w:firstLine="720"/>
        <w:jc w:val="both"/>
        <w:rPr>
          <w:rFonts w:ascii="Times New Roman" w:hAnsi="Times New Roman" w:cs="Times New Roman"/>
          <w:sz w:val="24"/>
        </w:rPr>
      </w:pPr>
      <w:r>
        <w:rPr>
          <w:rFonts w:ascii="Times New Roman" w:hAnsi="Times New Roman" w:cs="Times New Roman"/>
          <w:sz w:val="24"/>
        </w:rPr>
        <w:t>Struktur dan status TNI diatur dengan peraturan untuk mencegah tindakan sewenang-wenang oleh lembaga pertahanan negara. Susunan dan</w:t>
      </w:r>
      <w:r>
        <w:rPr>
          <w:rFonts w:ascii="Times New Roman" w:hAnsi="Times New Roman" w:cs="Times New Roman"/>
          <w:sz w:val="24"/>
          <w:lang w:val="id-ID"/>
        </w:rPr>
        <w:t xml:space="preserve"> Kedudukan Tentara Nasional Indonesia tersebut tertuang dalam peraturan yang jelas dari Majelis Permusyawaratan Rakyat Republik Indonesia Nomor VII/MPR/2000 tentang Peran Tentara Nasional Indonesia dan Kepolisian Negara Republik Indonesia. Pasal 3 berbunyi sebagai berikut :</w:t>
      </w:r>
      <w:r>
        <w:rPr>
          <w:rFonts w:ascii="Times New Roman" w:hAnsi="Times New Roman" w:cs="Times New Roman"/>
          <w:sz w:val="24"/>
        </w:rPr>
        <w:t xml:space="preserve"> </w:t>
      </w:r>
    </w:p>
    <w:p w:rsidR="00BF2BB0" w:rsidRDefault="00BF2BB0" w:rsidP="00BF2BB0">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Tentara Nasional Indonesia terdiri atas angkatan darat, angkatan laut, dan angkatan udara, dan susunannya diatur menurut ketentuan perundang-undangan.</w:t>
      </w:r>
    </w:p>
    <w:p w:rsidR="00BF2BB0" w:rsidRDefault="00BF2BB0" w:rsidP="00BF2BB0">
      <w:pPr>
        <w:pStyle w:val="ListParagraph"/>
        <w:numPr>
          <w:ilvl w:val="0"/>
          <w:numId w:val="12"/>
        </w:numPr>
        <w:spacing w:line="480" w:lineRule="auto"/>
        <w:jc w:val="both"/>
        <w:rPr>
          <w:rFonts w:ascii="Times New Roman" w:hAnsi="Times New Roman" w:cs="Times New Roman"/>
          <w:sz w:val="24"/>
        </w:rPr>
      </w:pPr>
      <w:r>
        <w:rPr>
          <w:rFonts w:ascii="Times New Roman" w:hAnsi="Times New Roman" w:cs="Times New Roman"/>
          <w:sz w:val="24"/>
        </w:rPr>
        <w:t>Tentara Nasional Indonesia berada di bawah Presiden.</w:t>
      </w:r>
    </w:p>
    <w:p w:rsidR="00BF2BB0" w:rsidRDefault="00BF2BB0" w:rsidP="00BF2BB0">
      <w:pPr>
        <w:pStyle w:val="ListParagraph"/>
        <w:numPr>
          <w:ilvl w:val="0"/>
          <w:numId w:val="12"/>
        </w:numPr>
        <w:spacing w:line="480" w:lineRule="auto"/>
        <w:rPr>
          <w:rFonts w:ascii="Times New Roman" w:hAnsi="Times New Roman" w:cs="Times New Roman"/>
          <w:sz w:val="24"/>
        </w:rPr>
      </w:pPr>
      <w:r>
        <w:rPr>
          <w:rFonts w:ascii="Times New Roman" w:hAnsi="Times New Roman" w:cs="Times New Roman"/>
          <w:sz w:val="24"/>
        </w:rPr>
        <w:t>Tentara Nasional Indonesia dipimpin oleh seorang Panglima yang diangkat dan diberhentikan oleh Presiden setelah mendapat persetujuan Dewan Perwakilan Rakyat</w:t>
      </w:r>
    </w:p>
    <w:p w:rsidR="00BF2BB0" w:rsidRDefault="00BF2BB0" w:rsidP="00BF2BB0">
      <w:pPr>
        <w:pStyle w:val="ListParagraph"/>
        <w:numPr>
          <w:ilvl w:val="0"/>
          <w:numId w:val="12"/>
        </w:numPr>
        <w:spacing w:line="480" w:lineRule="auto"/>
        <w:rPr>
          <w:rFonts w:ascii="Times New Roman" w:hAnsi="Times New Roman" w:cs="Times New Roman"/>
          <w:sz w:val="24"/>
        </w:rPr>
      </w:pPr>
      <w:r>
        <w:rPr>
          <w:rFonts w:ascii="Times New Roman" w:hAnsi="Times New Roman" w:cs="Times New Roman"/>
          <w:sz w:val="24"/>
        </w:rPr>
        <w:t>a. Prajurit Tentara Nasional Indonesia berada di bawah yurisdiksi pengadilan militer dalam pelanggaran hukum militer, dan di bawah yurisdiksi pengadilan biasa dalam pelanggaran hukum pidana umum</w:t>
      </w:r>
    </w:p>
    <w:p w:rsidR="00BF2BB0" w:rsidRDefault="00BF2BB0" w:rsidP="00BF2BB0">
      <w:pPr>
        <w:pStyle w:val="ListParagraph"/>
        <w:spacing w:line="480" w:lineRule="auto"/>
        <w:ind w:left="360"/>
        <w:rPr>
          <w:rFonts w:ascii="Times New Roman" w:hAnsi="Times New Roman" w:cs="Times New Roman"/>
          <w:sz w:val="24"/>
        </w:rPr>
      </w:pPr>
      <w:r>
        <w:rPr>
          <w:rFonts w:ascii="Times New Roman" w:hAnsi="Times New Roman" w:cs="Times New Roman"/>
          <w:sz w:val="24"/>
        </w:rPr>
        <w:t>b</w:t>
      </w:r>
      <w:bookmarkStart w:id="104" w:name="_Toc90275208"/>
      <w:bookmarkStart w:id="105" w:name="_Toc90334430"/>
      <w:bookmarkStart w:id="106" w:name="_Toc90633153"/>
      <w:bookmarkStart w:id="107" w:name="_Toc90634053"/>
      <w:bookmarkStart w:id="108" w:name="_Toc90734468"/>
      <w:bookmarkStart w:id="109" w:name="_Toc90735122"/>
      <w:r>
        <w:rPr>
          <w:rFonts w:ascii="Times New Roman" w:hAnsi="Times New Roman" w:cs="Times New Roman"/>
          <w:sz w:val="24"/>
        </w:rPr>
        <w:t xml:space="preserve">  Jika kekuasaan lembaga peradilan umum sebagaimana dimaksud dalam ayat 4a pasal ini tidak berjalan, prajurit Tentara Nasional Indonesia tunduk pada yurisdiksi lembaga peradilan yang ditentukan oleh undang-undang.</w:t>
      </w: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pStyle w:val="ListParagraph"/>
        <w:spacing w:line="480" w:lineRule="auto"/>
        <w:ind w:left="360"/>
        <w:rPr>
          <w:rFonts w:ascii="Times New Roman" w:hAnsi="Times New Roman" w:cs="Times New Roman"/>
          <w:sz w:val="24"/>
        </w:rPr>
      </w:pPr>
    </w:p>
    <w:p w:rsidR="00BF2BB0" w:rsidRDefault="00BF2BB0" w:rsidP="00BF2BB0">
      <w:pPr>
        <w:spacing w:line="480" w:lineRule="auto"/>
      </w:pPr>
    </w:p>
    <w:p w:rsidR="00BF2BB0" w:rsidRDefault="00BF2BB0" w:rsidP="00BF2BB0">
      <w:pPr>
        <w:pStyle w:val="Heading1"/>
        <w:numPr>
          <w:ilvl w:val="2"/>
          <w:numId w:val="11"/>
        </w:numPr>
        <w:jc w:val="left"/>
      </w:pPr>
      <w:bookmarkStart w:id="110" w:name="_Toc102060780"/>
      <w:r>
        <w:t>Kerangka Teori</w:t>
      </w:r>
      <w:bookmarkEnd w:id="104"/>
      <w:bookmarkEnd w:id="105"/>
      <w:bookmarkEnd w:id="106"/>
      <w:bookmarkEnd w:id="107"/>
      <w:bookmarkEnd w:id="108"/>
      <w:bookmarkEnd w:id="109"/>
      <w:bookmarkEnd w:id="110"/>
    </w:p>
    <w:p w:rsidR="00BF2BB0" w:rsidRDefault="00BF2BB0" w:rsidP="00BF2BB0">
      <w:pPr>
        <w:spacing w:after="200" w:line="480" w:lineRule="auto"/>
        <w:ind w:left="36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Kesehatan manusia secara keseluruhan meliputi kesehatan tubuh dan kesehatan gigi dan mulut. Kesehatan gigi dan mulut adalah keadaan sehat pada rongga mulut tanpa adanya gangguan fungsi. Dalam rongga mulut terdapat jaringan pendukung atau jaringan periodontal yang terdiri dari gingiva, sementum, ligament periodontal, dan tulang alveolar. Gangguan pada jaringan periodontal seperti gingivitis dan periodontitis dapat disebabkan oleh beberapa faktor yaitu faktor lokal, faktor sistemik, dan faktor kebiasaan. Seperti yang diketahui bahwa penyakit pada rongga mulut akan sangat menganggu kehidupan sehari-hari maka dari itu diperlukan perawatan dari tenaga kesehatan maupun perilaku menjaga kesehatan rongga mulut yang didasari  dari kesadaran yang dipicu oleh pengetahuan. </w:t>
      </w:r>
    </w:p>
    <w:p w:rsidR="00BF2BB0" w:rsidRDefault="00BF2BB0" w:rsidP="00BF2BB0">
      <w:pPr>
        <w:spacing w:after="200" w:line="480" w:lineRule="auto"/>
        <w:ind w:left="36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Kebersihan gigi dan mulut merupakan faktor yang mendukung terjadinya kesehatan gigi dan mulut termasuk jaringan periodontal. Pada penelitian sebelumnya didapatkan bahwa masih banyak prajurit yang memerlukan motivasi atau dorongan untuk menjaga kesehatan gigi dan mulutnya disertai perawatan scaling. Seorang prajurit harus memiliki tingkat kesehatan yang tinggi agar selalu produktif dalam mengemban tugasnya. Besarnya tingkat keparahan penyakit periodontal dapat diukur menggunakan pemeriksaan CPITN dan dari hasil </w:t>
      </w:r>
      <w:r>
        <w:rPr>
          <w:rFonts w:ascii="Times New Roman" w:hAnsi="Times New Roman" w:cs="Times New Roman"/>
          <w:sz w:val="24"/>
          <w:szCs w:val="24"/>
        </w:rPr>
        <w:lastRenderedPageBreak/>
        <w:t>pemeriksaan tersebut dapat diketahui kebutuhan keperawatan yang tepat bagi  prajurit TNI AD.</w:t>
      </w:r>
    </w:p>
    <w:p w:rsidR="00BF2BB0" w:rsidRDefault="00BF2BB0" w:rsidP="00BF2BB0">
      <w:pPr>
        <w:rPr>
          <w:rFonts w:ascii="Times New Roman" w:hAnsi="Times New Roman" w:cs="Times New Roman"/>
          <w:sz w:val="24"/>
          <w:szCs w:val="24"/>
        </w:rPr>
      </w:pPr>
    </w:p>
    <w:p w:rsidR="00BF2BB0" w:rsidRDefault="00BF2BB0" w:rsidP="00BF2BB0">
      <w:pPr>
        <w:ind w:left="360"/>
        <w:rPr>
          <w:rFonts w:ascii="Times New Roman" w:hAnsi="Times New Roman" w:cs="Times New Roman"/>
          <w:sz w:val="24"/>
          <w:szCs w:val="24"/>
        </w:rPr>
      </w:pPr>
    </w:p>
    <w:p w:rsidR="00BF2BB0" w:rsidRDefault="00BF2BB0" w:rsidP="00BF2BB0">
      <w:pPr>
        <w:spacing w:line="480" w:lineRule="auto"/>
        <w:ind w:left="360"/>
        <w:jc w:val="both"/>
        <w:rPr>
          <w:rFonts w:ascii="Times New Roman" w:hAnsi="Times New Roman" w:cs="Times New Roman"/>
          <w:sz w:val="24"/>
        </w:rPr>
      </w:pPr>
      <w:r>
        <w:rPr>
          <w:rFonts w:ascii="Times New Roman" w:hAnsi="Times New Roman" w:cs="Times New Roman"/>
          <w:b/>
          <w:noProof/>
        </w:rPr>
        <mc:AlternateContent>
          <mc:Choice Requires="wpc">
            <w:drawing>
              <wp:inline distT="0" distB="0" distL="0" distR="0" wp14:anchorId="644A8946" wp14:editId="1A81372C">
                <wp:extent cx="5040630" cy="6196518"/>
                <wp:effectExtent l="0" t="0" r="121920" b="0"/>
                <wp:docPr id="1035" name="Canvas 61"/>
                <wp:cNvGraphicFramePr>
                  <a:graphicFrameLocks xmlns:a="http://schemas.openxmlformats.org/drawingml/2006/main"/>
                </wp:cNvGraphicFramePr>
                <a:graphic xmlns:a="http://schemas.openxmlformats.org/drawingml/2006/main">
                  <a:graphicData uri="http://schemas.microsoft.com/office/word/2010/wordprocessingCanvas">
                    <wpc:wpc>
                      <wpc:bg/>
                      <wpc:whole>
                        <a:ln>
                          <a:noFill/>
                        </a:ln>
                      </wpc:whole>
                      <wps:wsp>
                        <wps:cNvPr id="1" name="Rectangle 1"/>
                        <wps:cNvSpPr/>
                        <wps:spPr>
                          <a:xfrm>
                            <a:off x="1542392" y="219091"/>
                            <a:ext cx="1323200" cy="494852"/>
                          </a:xfrm>
                          <a:prstGeom prst="rect">
                            <a:avLst/>
                          </a:prstGeom>
                          <a:solidFill>
                            <a:srgbClr val="FFFFFF"/>
                          </a:solidFill>
                          <a:ln w="6350" cap="flat" cmpd="sng">
                            <a:solidFill>
                              <a:srgbClr val="000000"/>
                            </a:solidFill>
                            <a:prstDash val="solid"/>
                            <a:round/>
                            <a:headEnd/>
                            <a:tailEnd/>
                          </a:ln>
                        </wps:spPr>
                        <wps:txbx>
                          <w:txbxContent>
                            <w:p w:rsidR="00BF2BB0" w:rsidRDefault="00BF2BB0" w:rsidP="00BF2BB0">
                              <w:pPr>
                                <w:jc w:val="center"/>
                                <w:rPr>
                                  <w:rFonts w:ascii="Times New Roman" w:hAnsi="Times New Roman" w:cs="Times New Roman"/>
                                </w:rPr>
                              </w:pPr>
                              <w:r>
                                <w:rPr>
                                  <w:rFonts w:ascii="Times New Roman" w:hAnsi="Times New Roman" w:cs="Times New Roman"/>
                                </w:rPr>
                                <w:t>Kesehatan gigi dan Mulut</w:t>
                              </w:r>
                            </w:p>
                          </w:txbxContent>
                        </wps:txbx>
                        <wps:bodyPr vert="horz" wrap="square" lIns="91440" tIns="45720" rIns="91440" bIns="45720" anchor="ctr">
                          <a:prstTxWarp prst="textNoShape">
                            <a:avLst/>
                          </a:prstTxWarp>
                          <a:noAutofit/>
                        </wps:bodyPr>
                      </wps:wsp>
                      <wps:wsp>
                        <wps:cNvPr id="2" name="Rectangle 2"/>
                        <wps:cNvSpPr/>
                        <wps:spPr>
                          <a:xfrm>
                            <a:off x="1150491" y="1040950"/>
                            <a:ext cx="2135634" cy="730699"/>
                          </a:xfrm>
                          <a:prstGeom prst="rect">
                            <a:avLst/>
                          </a:prstGeom>
                          <a:solidFill>
                            <a:srgbClr val="FFFFFF"/>
                          </a:solidFill>
                          <a:ln w="6350" cap="flat" cmpd="sng">
                            <a:solidFill>
                              <a:srgbClr val="000000"/>
                            </a:solidFill>
                            <a:prstDash val="solid"/>
                            <a:round/>
                            <a:headEnd/>
                            <a:tailEnd/>
                          </a:ln>
                        </wps:spPr>
                        <wps:txbx>
                          <w:txbxContent>
                            <w:p w:rsidR="00BF2BB0" w:rsidRDefault="00BF2BB0" w:rsidP="00BF2BB0">
                              <w:pPr>
                                <w:jc w:val="center"/>
                                <w:rPr>
                                  <w:rFonts w:ascii="Times New Roman" w:hAnsi="Times New Roman" w:cs="Times New Roman"/>
                                </w:rPr>
                              </w:pPr>
                              <w:r>
                                <w:rPr>
                                  <w:rFonts w:ascii="Times New Roman" w:hAnsi="Times New Roman" w:cs="Times New Roman"/>
                                </w:rPr>
                                <w:t>Jaringan Periodontal :</w:t>
                              </w:r>
                            </w:p>
                            <w:p w:rsidR="00BF2BB0" w:rsidRDefault="00BF2BB0" w:rsidP="00BF2BB0">
                              <w:pPr>
                                <w:rPr>
                                  <w:rFonts w:ascii="Times New Roman" w:hAnsi="Times New Roman" w:cs="Times New Roman"/>
                                </w:rPr>
                              </w:pPr>
                              <w:r>
                                <w:rPr>
                                  <w:rFonts w:ascii="Times New Roman" w:hAnsi="Times New Roman" w:cs="Times New Roman"/>
                                </w:rPr>
                                <w:t>Gingiva, Sementum,</w:t>
                              </w:r>
                              <w:r>
                                <w:t xml:space="preserve"> </w:t>
                              </w:r>
                              <w:r>
                                <w:rPr>
                                  <w:rFonts w:ascii="Times New Roman" w:hAnsi="Times New Roman" w:cs="Times New Roman"/>
                                </w:rPr>
                                <w:t>Ligament Periodontal dan Tulang Alveolar</w:t>
                              </w:r>
                            </w:p>
                          </w:txbxContent>
                        </wps:txbx>
                        <wps:bodyPr vert="horz" wrap="square" lIns="91440" tIns="45720" rIns="91440" bIns="45720" anchor="t">
                          <a:prstTxWarp prst="textNoShape">
                            <a:avLst/>
                          </a:prstTxWarp>
                          <a:noAutofit/>
                        </wps:bodyPr>
                      </wps:wsp>
                      <wps:wsp>
                        <wps:cNvPr id="3" name="Rectangle 3"/>
                        <wps:cNvSpPr/>
                        <wps:spPr>
                          <a:xfrm>
                            <a:off x="1323975" y="2085975"/>
                            <a:ext cx="1809750" cy="647700"/>
                          </a:xfrm>
                          <a:prstGeom prst="rect">
                            <a:avLst/>
                          </a:prstGeom>
                          <a:solidFill>
                            <a:srgbClr val="FFFFFF"/>
                          </a:solidFill>
                          <a:ln w="6350" cap="flat" cmpd="sng">
                            <a:solidFill>
                              <a:srgbClr val="000000"/>
                            </a:solidFill>
                            <a:prstDash val="solid"/>
                            <a:round/>
                            <a:headEnd/>
                            <a:tailEnd/>
                          </a:ln>
                        </wps:spPr>
                        <wps:txbx>
                          <w:txbxContent>
                            <w:p w:rsidR="00BF2BB0" w:rsidRDefault="00BF2BB0" w:rsidP="00BF2BB0">
                              <w:pPr>
                                <w:spacing w:after="0" w:line="240" w:lineRule="auto"/>
                                <w:jc w:val="center"/>
                                <w:rPr>
                                  <w:rFonts w:ascii="Times New Roman" w:hAnsi="Times New Roman" w:cs="Times New Roman"/>
                                </w:rPr>
                              </w:pPr>
                              <w:r>
                                <w:rPr>
                                  <w:rFonts w:ascii="Times New Roman" w:hAnsi="Times New Roman" w:cs="Times New Roman"/>
                                </w:rPr>
                                <w:t xml:space="preserve">Penyakit Jaringan Periodontal </w:t>
                              </w:r>
                            </w:p>
                          </w:txbxContent>
                        </wps:txbx>
                        <wps:bodyPr vert="horz" wrap="square" lIns="91440" tIns="45720" rIns="91440" bIns="45720" anchor="t">
                          <a:prstTxWarp prst="textNoShape">
                            <a:avLst/>
                          </a:prstTxWarp>
                          <a:noAutofit/>
                        </wps:bodyPr>
                      </wps:wsp>
                      <wps:wsp>
                        <wps:cNvPr id="4" name="Rectangle 4"/>
                        <wps:cNvSpPr/>
                        <wps:spPr>
                          <a:xfrm>
                            <a:off x="1478571" y="3781424"/>
                            <a:ext cx="1483704" cy="465980"/>
                          </a:xfrm>
                          <a:prstGeom prst="rect">
                            <a:avLst/>
                          </a:prstGeom>
                          <a:solidFill>
                            <a:srgbClr val="FFFFFF"/>
                          </a:solidFill>
                          <a:ln w="6350" cap="flat" cmpd="sng">
                            <a:solidFill>
                              <a:srgbClr val="000000"/>
                            </a:solidFill>
                            <a:prstDash val="solid"/>
                            <a:round/>
                            <a:headEnd/>
                            <a:tailEnd/>
                          </a:ln>
                        </wps:spPr>
                        <wps:txbx>
                          <w:txbxContent>
                            <w:p w:rsidR="00BF2BB0" w:rsidRDefault="00BF2BB0" w:rsidP="00BF2BB0">
                              <w:pPr>
                                <w:jc w:val="center"/>
                                <w:rPr>
                                  <w:rFonts w:ascii="Times New Roman" w:hAnsi="Times New Roman" w:cs="Times New Roman"/>
                                </w:rPr>
                              </w:pPr>
                              <w:r>
                                <w:rPr>
                                  <w:rFonts w:ascii="Times New Roman" w:hAnsi="Times New Roman" w:cs="Times New Roman"/>
                                </w:rPr>
                                <w:t>Faktor penyebab : Plak dan Kalkulus</w:t>
                              </w:r>
                            </w:p>
                            <w:p w:rsidR="00BF2BB0" w:rsidRDefault="00BF2BB0" w:rsidP="00BF2BB0">
                              <w:pPr>
                                <w:jc w:val="center"/>
                                <w:rPr>
                                  <w:rFonts w:ascii="Times New Roman" w:hAnsi="Times New Roman" w:cs="Times New Roman"/>
                                </w:rPr>
                              </w:pPr>
                            </w:p>
                            <w:p w:rsidR="00BF2BB0" w:rsidRDefault="00BF2BB0" w:rsidP="00BF2BB0"/>
                          </w:txbxContent>
                        </wps:txbx>
                        <wps:bodyPr vert="horz" wrap="square" lIns="91440" tIns="45720" rIns="91440" bIns="45720" anchor="t">
                          <a:prstTxWarp prst="textNoShape">
                            <a:avLst/>
                          </a:prstTxWarp>
                          <a:noAutofit/>
                        </wps:bodyPr>
                      </wps:wsp>
                      <wps:wsp>
                        <wps:cNvPr id="5" name="Rectangle 5"/>
                        <wps:cNvSpPr/>
                        <wps:spPr>
                          <a:xfrm>
                            <a:off x="1542392" y="4522691"/>
                            <a:ext cx="1467508" cy="613513"/>
                          </a:xfrm>
                          <a:prstGeom prst="rect">
                            <a:avLst/>
                          </a:prstGeom>
                          <a:solidFill>
                            <a:srgbClr val="FFFFFF"/>
                          </a:solidFill>
                          <a:ln w="6350" cap="flat" cmpd="sng">
                            <a:solidFill>
                              <a:srgbClr val="000000"/>
                            </a:solidFill>
                            <a:prstDash val="solid"/>
                            <a:round/>
                            <a:headEnd/>
                            <a:tailEnd/>
                          </a:ln>
                        </wps:spPr>
                        <wps:txbx>
                          <w:txbxContent>
                            <w:p w:rsidR="00BF2BB0" w:rsidRDefault="00BF2BB0" w:rsidP="00BF2BB0">
                              <w:pPr>
                                <w:jc w:val="center"/>
                                <w:rPr>
                                  <w:rFonts w:ascii="Times New Roman" w:hAnsi="Times New Roman" w:cs="Times New Roman"/>
                                </w:rPr>
                              </w:pPr>
                              <w:r>
                                <w:rPr>
                                  <w:rFonts w:ascii="Times New Roman" w:hAnsi="Times New Roman" w:cs="Times New Roman"/>
                                </w:rPr>
                                <w:t>Gambaran Status Kesehatan Jaringan Periodontal</w:t>
                              </w:r>
                            </w:p>
                            <w:p w:rsidR="00BF2BB0" w:rsidRDefault="00BF2BB0" w:rsidP="00BF2BB0"/>
                          </w:txbxContent>
                        </wps:txbx>
                        <wps:bodyPr vert="horz" wrap="square" lIns="91440" tIns="45720" rIns="91440" bIns="45720" anchor="t">
                          <a:prstTxWarp prst="textNoShape">
                            <a:avLst/>
                          </a:prstTxWarp>
                          <a:noAutofit/>
                        </wps:bodyPr>
                      </wps:wsp>
                      <wps:wsp>
                        <wps:cNvPr id="6" name="Rectangle 6"/>
                        <wps:cNvSpPr/>
                        <wps:spPr>
                          <a:xfrm>
                            <a:off x="3419076" y="4576999"/>
                            <a:ext cx="1733550" cy="642702"/>
                          </a:xfrm>
                          <a:prstGeom prst="rect">
                            <a:avLst/>
                          </a:prstGeom>
                          <a:solidFill>
                            <a:srgbClr val="FFFFFF"/>
                          </a:solidFill>
                          <a:ln w="12700" cap="flat" cmpd="sng">
                            <a:solidFill>
                              <a:srgbClr val="000000"/>
                            </a:solidFill>
                            <a:prstDash val="solid"/>
                            <a:miter/>
                            <a:headEnd/>
                            <a:tailEnd/>
                          </a:ln>
                        </wps:spPr>
                        <wps:txbx>
                          <w:txbxContent>
                            <w:p w:rsidR="00BF2BB0" w:rsidRDefault="00BF2BB0" w:rsidP="00BF2BB0">
                              <w:pPr>
                                <w:jc w:val="center"/>
                                <w:rPr>
                                  <w:rFonts w:ascii="Times New Roman" w:hAnsi="Times New Roman" w:cs="Times New Roman"/>
                                </w:rPr>
                              </w:pPr>
                              <w:r>
                                <w:rPr>
                                  <w:rFonts w:ascii="Times New Roman" w:hAnsi="Times New Roman" w:cs="Times New Roman"/>
                                </w:rPr>
                                <w:t>Hasil Pemeriksaan Kesehatan Periodontal Pada Prajurit TNI AD</w:t>
                              </w:r>
                            </w:p>
                          </w:txbxContent>
                        </wps:txbx>
                        <wps:bodyPr vert="horz" wrap="square" lIns="91440" tIns="45720" rIns="91440" bIns="45720" anchor="ctr">
                          <a:prstTxWarp prst="textNoShape">
                            <a:avLst/>
                          </a:prstTxWarp>
                          <a:noAutofit/>
                        </wps:bodyPr>
                      </wps:wsp>
                      <wps:wsp>
                        <wps:cNvPr id="7" name="Straight Arrow Connector 7"/>
                        <wps:cNvCnPr/>
                        <wps:spPr>
                          <a:xfrm>
                            <a:off x="2266061" y="5117598"/>
                            <a:ext cx="0" cy="314325"/>
                          </a:xfrm>
                          <a:prstGeom prst="straightConnector1">
                            <a:avLst/>
                          </a:prstGeom>
                          <a:ln w="6350" cap="flat" cmpd="sng">
                            <a:solidFill>
                              <a:srgbClr val="000000"/>
                            </a:solidFill>
                            <a:prstDash val="solid"/>
                            <a:miter/>
                            <a:headEnd/>
                            <a:tailEnd type="triangle" w="med" len="med"/>
                          </a:ln>
                        </wps:spPr>
                        <wps:bodyPr/>
                      </wps:wsp>
                      <wps:wsp>
                        <wps:cNvPr id="8" name="Rectangle 8"/>
                        <wps:cNvSpPr/>
                        <wps:spPr>
                          <a:xfrm>
                            <a:off x="1371600" y="5420131"/>
                            <a:ext cx="1838325" cy="558642"/>
                          </a:xfrm>
                          <a:prstGeom prst="rect">
                            <a:avLst/>
                          </a:prstGeom>
                          <a:solidFill>
                            <a:srgbClr val="FFFFFF"/>
                          </a:solidFill>
                          <a:ln w="12700" cap="flat" cmpd="sng">
                            <a:solidFill>
                              <a:srgbClr val="000000"/>
                            </a:solidFill>
                            <a:prstDash val="solid"/>
                            <a:miter/>
                            <a:headEnd/>
                            <a:tailEnd/>
                          </a:ln>
                        </wps:spPr>
                        <wps:txbx>
                          <w:txbxContent>
                            <w:p w:rsidR="00BF2BB0" w:rsidRDefault="00BF2BB0" w:rsidP="00BF2BB0">
                              <w:pPr>
                                <w:jc w:val="center"/>
                              </w:pPr>
                              <w:r>
                                <w:t>Kebutuhan Perawatan Jaringan Periodontal</w:t>
                              </w:r>
                            </w:p>
                          </w:txbxContent>
                        </wps:txbx>
                        <wps:bodyPr vert="horz" wrap="square" lIns="91440" tIns="45720" rIns="91440" bIns="45720" anchor="ctr">
                          <a:prstTxWarp prst="textNoShape">
                            <a:avLst/>
                          </a:prstTxWarp>
                          <a:noAutofit/>
                        </wps:bodyPr>
                      </wps:wsp>
                      <wps:wsp>
                        <wps:cNvPr id="9" name="Straight Arrow Connector 9"/>
                        <wps:cNvCnPr/>
                        <wps:spPr>
                          <a:xfrm flipH="1">
                            <a:off x="3009900" y="4832155"/>
                            <a:ext cx="409176" cy="0"/>
                          </a:xfrm>
                          <a:prstGeom prst="straightConnector1">
                            <a:avLst/>
                          </a:prstGeom>
                          <a:ln w="6350" cap="flat" cmpd="sng">
                            <a:solidFill>
                              <a:srgbClr val="000000"/>
                            </a:solidFill>
                            <a:prstDash val="solid"/>
                            <a:miter/>
                            <a:headEnd/>
                            <a:tailEnd type="triangle" w="med" len="med"/>
                          </a:ln>
                        </wps:spPr>
                        <wps:bodyPr/>
                      </wps:wsp>
                      <wps:wsp>
                        <wps:cNvPr id="10" name="Straight Arrow Connector 10"/>
                        <wps:cNvCnPr/>
                        <wps:spPr>
                          <a:xfrm>
                            <a:off x="2218308" y="723900"/>
                            <a:ext cx="0" cy="304800"/>
                          </a:xfrm>
                          <a:prstGeom prst="straightConnector1">
                            <a:avLst/>
                          </a:prstGeom>
                          <a:ln w="6350" cap="flat" cmpd="sng">
                            <a:solidFill>
                              <a:srgbClr val="000000"/>
                            </a:solidFill>
                            <a:prstDash val="solid"/>
                            <a:miter/>
                            <a:headEnd/>
                            <a:tailEnd type="triangle" w="med" len="med"/>
                          </a:ln>
                        </wps:spPr>
                        <wps:bodyPr/>
                      </wps:wsp>
                      <wps:wsp>
                        <wps:cNvPr id="11" name="Straight Arrow Connector 11"/>
                        <wps:cNvCnPr/>
                        <wps:spPr>
                          <a:xfrm>
                            <a:off x="2218308" y="1771650"/>
                            <a:ext cx="9034" cy="333375"/>
                          </a:xfrm>
                          <a:prstGeom prst="straightConnector1">
                            <a:avLst/>
                          </a:prstGeom>
                          <a:ln w="6350" cap="flat" cmpd="sng">
                            <a:solidFill>
                              <a:srgbClr val="000000"/>
                            </a:solidFill>
                            <a:prstDash val="solid"/>
                            <a:miter/>
                            <a:headEnd/>
                            <a:tailEnd type="triangle" w="med" len="med"/>
                          </a:ln>
                        </wps:spPr>
                        <wps:bodyPr/>
                      </wps:wsp>
                      <wps:wsp>
                        <wps:cNvPr id="12" name="Straight Arrow Connector 12"/>
                        <wps:cNvCnPr/>
                        <wps:spPr>
                          <a:xfrm flipH="1">
                            <a:off x="2246812" y="4242878"/>
                            <a:ext cx="71" cy="279949"/>
                          </a:xfrm>
                          <a:prstGeom prst="straightConnector1">
                            <a:avLst/>
                          </a:prstGeom>
                          <a:ln w="6350" cap="flat" cmpd="sng">
                            <a:solidFill>
                              <a:srgbClr val="000000"/>
                            </a:solidFill>
                            <a:prstDash val="solid"/>
                            <a:miter/>
                            <a:headEnd/>
                            <a:tailEnd type="triangle" w="med" len="med"/>
                          </a:ln>
                        </wps:spPr>
                        <wps:bodyPr/>
                      </wps:wsp>
                      <wps:wsp>
                        <wps:cNvPr id="13" name="Straight Connector 13"/>
                        <wps:cNvCnPr/>
                        <wps:spPr>
                          <a:xfrm flipV="1">
                            <a:off x="847725" y="3000375"/>
                            <a:ext cx="2867025" cy="9525"/>
                          </a:xfrm>
                          <a:prstGeom prst="line">
                            <a:avLst/>
                          </a:prstGeom>
                          <a:ln w="6350" cap="flat" cmpd="sng">
                            <a:solidFill>
                              <a:srgbClr val="000000"/>
                            </a:solidFill>
                            <a:prstDash val="solid"/>
                            <a:miter/>
                            <a:headEnd/>
                            <a:tailEnd/>
                          </a:ln>
                        </wps:spPr>
                        <wps:bodyPr/>
                      </wps:wsp>
                      <wps:wsp>
                        <wps:cNvPr id="14" name="Straight Connector 14"/>
                        <wps:cNvCnPr/>
                        <wps:spPr>
                          <a:xfrm>
                            <a:off x="857250" y="3011919"/>
                            <a:ext cx="0" cy="190500"/>
                          </a:xfrm>
                          <a:prstGeom prst="line">
                            <a:avLst/>
                          </a:prstGeom>
                          <a:ln w="6350" cap="flat" cmpd="sng">
                            <a:solidFill>
                              <a:srgbClr val="000000"/>
                            </a:solidFill>
                            <a:prstDash val="solid"/>
                            <a:miter/>
                            <a:headEnd/>
                            <a:tailEnd/>
                          </a:ln>
                        </wps:spPr>
                        <wps:bodyPr/>
                      </wps:wsp>
                      <wps:wsp>
                        <wps:cNvPr id="15" name="Straight Connector 15"/>
                        <wps:cNvCnPr/>
                        <wps:spPr>
                          <a:xfrm>
                            <a:off x="3705225" y="3009900"/>
                            <a:ext cx="0" cy="192519"/>
                          </a:xfrm>
                          <a:prstGeom prst="line">
                            <a:avLst/>
                          </a:prstGeom>
                          <a:ln w="6350" cap="flat" cmpd="sng">
                            <a:solidFill>
                              <a:srgbClr val="000000"/>
                            </a:solidFill>
                            <a:prstDash val="solid"/>
                            <a:miter/>
                            <a:headEnd/>
                            <a:tailEnd/>
                          </a:ln>
                        </wps:spPr>
                        <wps:bodyPr/>
                      </wps:wsp>
                      <wps:wsp>
                        <wps:cNvPr id="16" name="Rectangle 16"/>
                        <wps:cNvSpPr/>
                        <wps:spPr>
                          <a:xfrm>
                            <a:off x="390525" y="3220723"/>
                            <a:ext cx="942975" cy="321831"/>
                          </a:xfrm>
                          <a:prstGeom prst="rect">
                            <a:avLst/>
                          </a:prstGeom>
                          <a:solidFill>
                            <a:srgbClr val="FFFFFF"/>
                          </a:solidFill>
                          <a:ln w="12700" cap="flat" cmpd="sng">
                            <a:solidFill>
                              <a:srgbClr val="000000"/>
                            </a:solidFill>
                            <a:prstDash val="solid"/>
                            <a:miter/>
                            <a:headEnd/>
                            <a:tailEnd/>
                          </a:ln>
                        </wps:spPr>
                        <wps:txbx>
                          <w:txbxContent>
                            <w:p w:rsidR="00BF2BB0" w:rsidRDefault="00BF2BB0" w:rsidP="00BF2BB0">
                              <w:pPr>
                                <w:jc w:val="center"/>
                              </w:pPr>
                              <w:r>
                                <w:t>Gingivitis</w:t>
                              </w:r>
                            </w:p>
                          </w:txbxContent>
                        </wps:txbx>
                        <wps:bodyPr vert="horz" wrap="square" lIns="91440" tIns="45720" rIns="91440" bIns="45720" anchor="ctr">
                          <a:prstTxWarp prst="textNoShape">
                            <a:avLst/>
                          </a:prstTxWarp>
                          <a:noAutofit/>
                        </wps:bodyPr>
                      </wps:wsp>
                      <wps:wsp>
                        <wps:cNvPr id="17" name="Rectangle 17"/>
                        <wps:cNvSpPr/>
                        <wps:spPr>
                          <a:xfrm>
                            <a:off x="3209925" y="3202419"/>
                            <a:ext cx="1009650" cy="264681"/>
                          </a:xfrm>
                          <a:prstGeom prst="rect">
                            <a:avLst/>
                          </a:prstGeom>
                          <a:solidFill>
                            <a:srgbClr val="FFFFFF"/>
                          </a:solidFill>
                          <a:ln w="12700" cap="flat" cmpd="sng">
                            <a:solidFill>
                              <a:srgbClr val="000000"/>
                            </a:solidFill>
                            <a:prstDash val="solid"/>
                            <a:miter/>
                            <a:headEnd/>
                            <a:tailEnd/>
                          </a:ln>
                        </wps:spPr>
                        <wps:txbx>
                          <w:txbxContent>
                            <w:p w:rsidR="00BF2BB0" w:rsidRDefault="00BF2BB0" w:rsidP="00BF2BB0">
                              <w:pPr>
                                <w:jc w:val="center"/>
                              </w:pPr>
                              <w:r>
                                <w:t>Periodontitis</w:t>
                              </w:r>
                            </w:p>
                          </w:txbxContent>
                        </wps:txbx>
                        <wps:bodyPr vert="horz" wrap="square" lIns="91440" tIns="45720" rIns="91440" bIns="45720" anchor="ctr">
                          <a:prstTxWarp prst="textNoShape">
                            <a:avLst/>
                          </a:prstTxWarp>
                          <a:noAutofit/>
                        </wps:bodyPr>
                      </wps:wsp>
                      <wps:wsp>
                        <wps:cNvPr id="18" name="Straight Connector 18"/>
                        <wps:cNvCnPr/>
                        <wps:spPr>
                          <a:xfrm>
                            <a:off x="2207952" y="2743200"/>
                            <a:ext cx="0" cy="257175"/>
                          </a:xfrm>
                          <a:prstGeom prst="line">
                            <a:avLst/>
                          </a:prstGeom>
                          <a:ln w="6350" cap="flat" cmpd="sng">
                            <a:solidFill>
                              <a:srgbClr val="000000"/>
                            </a:solidFill>
                            <a:prstDash val="solid"/>
                            <a:miter/>
                            <a:headEnd/>
                            <a:tailEnd/>
                          </a:ln>
                        </wps:spPr>
                        <wps:bodyPr/>
                      </wps:wsp>
                      <wps:wsp>
                        <wps:cNvPr id="19" name="Straight Arrow Connector 19"/>
                        <wps:cNvCnPr/>
                        <wps:spPr>
                          <a:xfrm flipV="1">
                            <a:off x="838200" y="3562351"/>
                            <a:ext cx="0" cy="466723"/>
                          </a:xfrm>
                          <a:prstGeom prst="straightConnector1">
                            <a:avLst/>
                          </a:prstGeom>
                          <a:ln w="6350" cap="flat" cmpd="sng">
                            <a:solidFill>
                              <a:srgbClr val="000000"/>
                            </a:solidFill>
                            <a:prstDash val="solid"/>
                            <a:miter/>
                            <a:headEnd/>
                            <a:tailEnd type="triangle" w="med" len="med"/>
                          </a:ln>
                        </wps:spPr>
                        <wps:bodyPr/>
                      </wps:wsp>
                      <wps:wsp>
                        <wps:cNvPr id="20" name="Straight Connector 20"/>
                        <wps:cNvCnPr/>
                        <wps:spPr>
                          <a:xfrm>
                            <a:off x="859704" y="4029075"/>
                            <a:ext cx="618867" cy="9524"/>
                          </a:xfrm>
                          <a:prstGeom prst="line">
                            <a:avLst/>
                          </a:prstGeom>
                          <a:ln w="6350" cap="flat" cmpd="sng">
                            <a:solidFill>
                              <a:srgbClr val="000000"/>
                            </a:solidFill>
                            <a:prstDash val="solid"/>
                            <a:miter/>
                            <a:headEnd/>
                            <a:tailEnd/>
                          </a:ln>
                        </wps:spPr>
                        <wps:bodyPr/>
                      </wps:wsp>
                      <wps:wsp>
                        <wps:cNvPr id="21" name="Straight Arrow Connector 21"/>
                        <wps:cNvCnPr/>
                        <wps:spPr>
                          <a:xfrm flipH="1" flipV="1">
                            <a:off x="3695703" y="3476599"/>
                            <a:ext cx="9522" cy="540925"/>
                          </a:xfrm>
                          <a:prstGeom prst="straightConnector1">
                            <a:avLst/>
                          </a:prstGeom>
                          <a:ln w="6350" cap="flat" cmpd="sng">
                            <a:solidFill>
                              <a:srgbClr val="000000"/>
                            </a:solidFill>
                            <a:prstDash val="solid"/>
                            <a:miter/>
                            <a:headEnd/>
                            <a:tailEnd type="triangle" w="med" len="med"/>
                          </a:ln>
                        </wps:spPr>
                        <wps:bodyPr/>
                      </wps:wsp>
                      <wps:wsp>
                        <wps:cNvPr id="22" name="Straight Connector 22"/>
                        <wps:cNvCnPr/>
                        <wps:spPr>
                          <a:xfrm>
                            <a:off x="2971800" y="3995299"/>
                            <a:ext cx="723903" cy="33"/>
                          </a:xfrm>
                          <a:prstGeom prst="line">
                            <a:avLst/>
                          </a:prstGeom>
                          <a:ln w="6350" cap="flat" cmpd="sng">
                            <a:solidFill>
                              <a:srgbClr val="000000"/>
                            </a:solidFill>
                            <a:prstDash val="solid"/>
                            <a:miter/>
                            <a:headEnd/>
                            <a:tailEnd/>
                          </a:ln>
                        </wps:spPr>
                        <wps:bodyPr/>
                      </wps:wsp>
                    </wpc:wpc>
                  </a:graphicData>
                </a:graphic>
              </wp:inline>
            </w:drawing>
          </mc:Choice>
          <mc:Fallback>
            <w:pict>
              <v:group w14:anchorId="644A8946" id="Canvas 61" o:spid="_x0000_s1027" editas="canvas" style="width:396.9pt;height:487.9pt;mso-position-horizontal-relative:char;mso-position-vertical-relative:line" coordsize="50406,6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0406;height:61963;visibility:visible;mso-wrap-style:square">
                  <v:fill o:detectmouseclick="t"/>
                  <v:path o:connecttype="none"/>
                </v:shape>
                <v:rect id="Rectangle 1" o:spid="_x0000_s1029" style="position:absolute;left:15423;top:2190;width:13232;height:4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fysAA&#10;AADaAAAADwAAAGRycy9kb3ducmV2LnhtbERPTYvCMBC9C/sfwix409Q9qHSNosKCnnSr4HW2GZti&#10;M6lN1OqvN8KCp+HxPmcya20lrtT40rGCQT8BQZw7XXKhYL/76Y1B+ICssXJMCu7kYTb96Eww1e7G&#10;v3TNQiFiCPsUFZgQ6lRKnxuy6PuuJo7c0TUWQ4RNIXWDtxhuK/mVJENpseTYYLCmpaH8lF2sAvoz&#10;o/N9Ozjnq+V6U2Wjw2PhD0p1P9v5N4hAbXiL/90rHefD65XXld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rfysAAAADaAAAADwAAAAAAAAAAAAAAAACYAgAAZHJzL2Rvd25y&#10;ZXYueG1sUEsFBgAAAAAEAAQA9QAAAIUDAAAAAA==&#10;" strokeweight=".5pt">
                  <v:stroke joinstyle="round"/>
                  <v:textbox>
                    <w:txbxContent>
                      <w:p w:rsidR="00BF2BB0" w:rsidRDefault="00BF2BB0" w:rsidP="00BF2BB0">
                        <w:pPr>
                          <w:jc w:val="center"/>
                          <w:rPr>
                            <w:rFonts w:ascii="Times New Roman" w:hAnsi="Times New Roman" w:cs="Times New Roman"/>
                          </w:rPr>
                        </w:pPr>
                        <w:r>
                          <w:rPr>
                            <w:rFonts w:ascii="Times New Roman" w:hAnsi="Times New Roman" w:cs="Times New Roman"/>
                          </w:rPr>
                          <w:t>Kesehatan gigi dan Mulut</w:t>
                        </w:r>
                      </w:p>
                    </w:txbxContent>
                  </v:textbox>
                </v:rect>
                <v:rect id="Rectangle 2" o:spid="_x0000_s1030" style="position:absolute;left:11504;top:10409;width:21357;height:7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He6MEA&#10;AADaAAAADwAAAGRycy9kb3ducmV2LnhtbESPQYvCMBSE74L/ITzBm6YqLEs1LSouLHjSFbw+m2db&#10;bV5KErX6683Cwh6HmfmGWeSdacSdnK8tK5iMExDEhdU1lwoOP1+jTxA+IGtsLJOCJ3nIs35vgam2&#10;D97RfR9KESHsU1RQhdCmUvqiIoN+bFvi6J2tMxiidKXUDh8Rbho5TZIPabDmuFBhS+uKiuv+ZhTY&#10;y2pzrJfHdbt1cmZeLxlOxVmp4aBbzkEE6sJ/+K/9rRVM4fdKvAEy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B3ujBAAAA2gAAAA8AAAAAAAAAAAAAAAAAmAIAAGRycy9kb3du&#10;cmV2LnhtbFBLBQYAAAAABAAEAPUAAACGAwAAAAA=&#10;" strokeweight=".5pt">
                  <v:stroke joinstyle="round"/>
                  <v:textbox>
                    <w:txbxContent>
                      <w:p w:rsidR="00BF2BB0" w:rsidRDefault="00BF2BB0" w:rsidP="00BF2BB0">
                        <w:pPr>
                          <w:jc w:val="center"/>
                          <w:rPr>
                            <w:rFonts w:ascii="Times New Roman" w:hAnsi="Times New Roman" w:cs="Times New Roman"/>
                          </w:rPr>
                        </w:pPr>
                        <w:r>
                          <w:rPr>
                            <w:rFonts w:ascii="Times New Roman" w:hAnsi="Times New Roman" w:cs="Times New Roman"/>
                          </w:rPr>
                          <w:t>Jaringan Periodontal :</w:t>
                        </w:r>
                      </w:p>
                      <w:p w:rsidR="00BF2BB0" w:rsidRDefault="00BF2BB0" w:rsidP="00BF2BB0">
                        <w:pPr>
                          <w:rPr>
                            <w:rFonts w:ascii="Times New Roman" w:hAnsi="Times New Roman" w:cs="Times New Roman"/>
                          </w:rPr>
                        </w:pPr>
                        <w:r>
                          <w:rPr>
                            <w:rFonts w:ascii="Times New Roman" w:hAnsi="Times New Roman" w:cs="Times New Roman"/>
                          </w:rPr>
                          <w:t>Gingiva, Sementum,</w:t>
                        </w:r>
                        <w:r>
                          <w:t xml:space="preserve"> </w:t>
                        </w:r>
                        <w:r>
                          <w:rPr>
                            <w:rFonts w:ascii="Times New Roman" w:hAnsi="Times New Roman" w:cs="Times New Roman"/>
                          </w:rPr>
                          <w:t>Ligament Periodontal dan Tulang Alveolar</w:t>
                        </w:r>
                      </w:p>
                    </w:txbxContent>
                  </v:textbox>
                </v:rect>
                <v:rect id="Rectangle 3" o:spid="_x0000_s1031" style="position:absolute;left:13239;top:20859;width:18098;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17c8EA&#10;AADaAAAADwAAAGRycy9kb3ducmV2LnhtbESPQYvCMBSE74L/ITzBm6YqLEs1LSoKwp50Ba/P5tlW&#10;m5eSRO36683Cwh6HmfmGWeSdacSDnK8tK5iMExDEhdU1lwqO39vRJwgfkDU2lknBD3nIs35vgam2&#10;T97T4xBKESHsU1RQhdCmUvqiIoN+bFvi6F2sMxiidKXUDp8Rbho5TZIPabDmuFBhS+uKitvhbhTY&#10;62pzqpendfvl5My8XjKci4tSw0G3nIMI1IX/8F97pxXM4PdKvAEy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Ne3PBAAAA2gAAAA8AAAAAAAAAAAAAAAAAmAIAAGRycy9kb3du&#10;cmV2LnhtbFBLBQYAAAAABAAEAPUAAACGAwAAAAA=&#10;" strokeweight=".5pt">
                  <v:stroke joinstyle="round"/>
                  <v:textbox>
                    <w:txbxContent>
                      <w:p w:rsidR="00BF2BB0" w:rsidRDefault="00BF2BB0" w:rsidP="00BF2BB0">
                        <w:pPr>
                          <w:spacing w:after="0" w:line="240" w:lineRule="auto"/>
                          <w:jc w:val="center"/>
                          <w:rPr>
                            <w:rFonts w:ascii="Times New Roman" w:hAnsi="Times New Roman" w:cs="Times New Roman"/>
                          </w:rPr>
                        </w:pPr>
                        <w:r>
                          <w:rPr>
                            <w:rFonts w:ascii="Times New Roman" w:hAnsi="Times New Roman" w:cs="Times New Roman"/>
                          </w:rPr>
                          <w:t xml:space="preserve">Penyakit Jaringan Periodontal </w:t>
                        </w:r>
                      </w:p>
                    </w:txbxContent>
                  </v:textbox>
                </v:rect>
                <v:rect id="Rectangle 4" o:spid="_x0000_s1032" style="position:absolute;left:14785;top:37814;width:14837;height:4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TjB8MA&#10;AADaAAAADwAAAGRycy9kb3ducmV2LnhtbESPQWvCQBSE7wX/w/IEb83GKqWkrqKhhYKnasHra/aZ&#10;RLNvw+42SfPru4LQ4zAz3zCrzWAa0ZHztWUF8yQFQVxYXXOp4Ov4/vgCwgdkjY1lUvBLHjbrycMK&#10;M217/qTuEEoRIewzVFCF0GZS+qIigz6xLXH0ztYZDFG6UmqHfYSbRj6l6bM0WHNcqLClvKLievgx&#10;Cuxl93aqt6e83Tu5MOMow3dxVmo2HbavIAIN4T98b39oBUu4XY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TjB8MAAADaAAAADwAAAAAAAAAAAAAAAACYAgAAZHJzL2Rv&#10;d25yZXYueG1sUEsFBgAAAAAEAAQA9QAAAIgDAAAAAA==&#10;" strokeweight=".5pt">
                  <v:stroke joinstyle="round"/>
                  <v:textbox>
                    <w:txbxContent>
                      <w:p w:rsidR="00BF2BB0" w:rsidRDefault="00BF2BB0" w:rsidP="00BF2BB0">
                        <w:pPr>
                          <w:jc w:val="center"/>
                          <w:rPr>
                            <w:rFonts w:ascii="Times New Roman" w:hAnsi="Times New Roman" w:cs="Times New Roman"/>
                          </w:rPr>
                        </w:pPr>
                        <w:r>
                          <w:rPr>
                            <w:rFonts w:ascii="Times New Roman" w:hAnsi="Times New Roman" w:cs="Times New Roman"/>
                          </w:rPr>
                          <w:t>Faktor penyebab : Plak dan Kalkulus</w:t>
                        </w:r>
                      </w:p>
                      <w:p w:rsidR="00BF2BB0" w:rsidRDefault="00BF2BB0" w:rsidP="00BF2BB0">
                        <w:pPr>
                          <w:jc w:val="center"/>
                          <w:rPr>
                            <w:rFonts w:ascii="Times New Roman" w:hAnsi="Times New Roman" w:cs="Times New Roman"/>
                          </w:rPr>
                        </w:pPr>
                      </w:p>
                      <w:p w:rsidR="00BF2BB0" w:rsidRDefault="00BF2BB0" w:rsidP="00BF2BB0"/>
                    </w:txbxContent>
                  </v:textbox>
                </v:rect>
                <v:rect id="Rectangle 5" o:spid="_x0000_s1033" style="position:absolute;left:15423;top:45226;width:14676;height:6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GnMMA&#10;AADaAAAADwAAAGRycy9kb3ducmV2LnhtbESPQWvCQBSE7wX/w/IEb83GiqWkrqKhhYKnasHra/aZ&#10;RLNvw+42SfPru4LQ4zAz3zCrzWAa0ZHztWUF8yQFQVxYXXOp4Ov4/vgCwgdkjY1lUvBLHjbrycMK&#10;M217/qTuEEoRIewzVFCF0GZS+qIigz6xLXH0ztYZDFG6UmqHfYSbRj6l6bM0WHNcqLClvKLievgx&#10;Cuxl93aqt6e83Tu5MOMow3dxVmo2HbavIAIN4T98b39oBUu4XY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hGnMMAAADaAAAADwAAAAAAAAAAAAAAAACYAgAAZHJzL2Rv&#10;d25yZXYueG1sUEsFBgAAAAAEAAQA9QAAAIgDAAAAAA==&#10;" strokeweight=".5pt">
                  <v:stroke joinstyle="round"/>
                  <v:textbox>
                    <w:txbxContent>
                      <w:p w:rsidR="00BF2BB0" w:rsidRDefault="00BF2BB0" w:rsidP="00BF2BB0">
                        <w:pPr>
                          <w:jc w:val="center"/>
                          <w:rPr>
                            <w:rFonts w:ascii="Times New Roman" w:hAnsi="Times New Roman" w:cs="Times New Roman"/>
                          </w:rPr>
                        </w:pPr>
                        <w:r>
                          <w:rPr>
                            <w:rFonts w:ascii="Times New Roman" w:hAnsi="Times New Roman" w:cs="Times New Roman"/>
                          </w:rPr>
                          <w:t>Gambaran Status Kesehatan Jaringan Periodontal</w:t>
                        </w:r>
                      </w:p>
                      <w:p w:rsidR="00BF2BB0" w:rsidRDefault="00BF2BB0" w:rsidP="00BF2BB0"/>
                    </w:txbxContent>
                  </v:textbox>
                </v:rect>
                <v:rect id="Rectangle 6" o:spid="_x0000_s1034" style="position:absolute;left:34190;top:45769;width:17336;height:6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eosAA&#10;AADaAAAADwAAAGRycy9kb3ducmV2LnhtbESPQYvCMBSE74L/IbwFbzZdDyLVKIsoePDS6kFvj+bZ&#10;lm1eShNt6683guBxmJlvmNWmN7V4UOsqywp+oxgEcW51xYWC82k/XYBwHlljbZkUDORgsx6PVpho&#10;23FKj8wXIkDYJaig9L5JpHR5SQZdZBvi4N1sa9AH2RZSt9gFuKnlLI7n0mDFYaHEhrYl5f/Z3SjA&#10;rL8Ow3DpOpnWcbV7pk12TJWa/PR/SxCeev8Nf9oHrWAO7yvhBs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1eosAAAADaAAAADwAAAAAAAAAAAAAAAACYAgAAZHJzL2Rvd25y&#10;ZXYueG1sUEsFBgAAAAAEAAQA9QAAAIUDAAAAAA==&#10;" strokeweight="1pt">
                  <v:textbox>
                    <w:txbxContent>
                      <w:p w:rsidR="00BF2BB0" w:rsidRDefault="00BF2BB0" w:rsidP="00BF2BB0">
                        <w:pPr>
                          <w:jc w:val="center"/>
                          <w:rPr>
                            <w:rFonts w:ascii="Times New Roman" w:hAnsi="Times New Roman" w:cs="Times New Roman"/>
                          </w:rPr>
                        </w:pPr>
                        <w:r>
                          <w:rPr>
                            <w:rFonts w:ascii="Times New Roman" w:hAnsi="Times New Roman" w:cs="Times New Roman"/>
                          </w:rPr>
                          <w:t>Hasil Pemeriksaan Kesehatan Periodontal Pada Prajurit TNI AD</w:t>
                        </w:r>
                      </w:p>
                    </w:txbxContent>
                  </v:textbox>
                </v:rect>
                <v:shapetype id="_x0000_t32" coordsize="21600,21600" o:spt="32" o:oned="t" path="m,l21600,21600e" filled="f">
                  <v:path arrowok="t" fillok="f" o:connecttype="none"/>
                  <o:lock v:ext="edit" shapetype="t"/>
                </v:shapetype>
                <v:shape id="Straight Arrow Connector 7" o:spid="_x0000_s1035" type="#_x0000_t32" style="position:absolute;left:22660;top:51175;width:0;height:3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oL78EAAADaAAAADwAAAGRycy9kb3ducmV2LnhtbESPQYvCMBSE7wv+h/AEL6KpHlypRhFB&#10;9Kou0uOzebbV5qU2sdZ/bwRhj8PMfMPMl60pRUO1KywrGA0jEMSp1QVnCv6Om8EUhPPIGkvLpOBF&#10;DpaLzs8cY22fvKfm4DMRIOxiVJB7X8VSujQng25oK+LgXWxt0AdZZ1LX+AxwU8pxFE2kwYLDQo4V&#10;rXNKb4eHUXC/XItkv6nwtD3fsvMj6Tflrq9Ur9uuZiA8tf4//G3vtIJf+FwJN0A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gvvwQAAANoAAAAPAAAAAAAAAAAAAAAA&#10;AKECAABkcnMvZG93bnJldi54bWxQSwUGAAAAAAQABAD5AAAAjwMAAAAA&#10;" strokeweight=".5pt">
                  <v:stroke endarrow="block" joinstyle="miter"/>
                </v:shape>
                <v:rect id="Rectangle 8" o:spid="_x0000_s1036" style="position:absolute;left:13716;top:54201;width:18383;height:55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vS7sA&#10;AADaAAAADwAAAGRycy9kb3ducmV2LnhtbERPvQrCMBDeBd8hnOCmqQ4i1SgiCg4urQ66Hc3ZFptL&#10;aaJtfXozCI4f3/9625lKvKlxpWUFs2kEgjizuuRcwfVynCxBOI+ssbJMCnpysN0MB2uMtW05oXfq&#10;cxFC2MWooPC+jqV0WUEG3dTWxIF72MagD7DJpW6wDeGmkvMoWkiDJYeGAmvaF5Q905dRgGl37/v+&#10;1rYyqaLy8Enq9JwoNR51uxUIT53/i3/uk1YQtoYr4QbIz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pub0u7AAAA2gAAAA8AAAAAAAAAAAAAAAAAmAIAAGRycy9kb3ducmV2Lnht&#10;bFBLBQYAAAAABAAEAPUAAACAAwAAAAA=&#10;" strokeweight="1pt">
                  <v:textbox>
                    <w:txbxContent>
                      <w:p w:rsidR="00BF2BB0" w:rsidRDefault="00BF2BB0" w:rsidP="00BF2BB0">
                        <w:pPr>
                          <w:jc w:val="center"/>
                        </w:pPr>
                        <w:r>
                          <w:t>Kebutuhan Perawatan Jaringan Periodontal</w:t>
                        </w:r>
                      </w:p>
                    </w:txbxContent>
                  </v:textbox>
                </v:rect>
                <v:shape id="Straight Arrow Connector 9" o:spid="_x0000_s1037" type="#_x0000_t32" style="position:absolute;left:30099;top:48321;width:409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YioMQAAADaAAAADwAAAGRycy9kb3ducmV2LnhtbESPQWvCQBSE74X+h+UVequbFiqaukop&#10;lNgcAkYvvT2yz2ww+zZkt0nsr3cFweMwM98wq81kWzFQ7xvHCl5nCQjiyumGawWH/ffLAoQPyBpb&#10;x6TgTB4268eHFabajbyjoQy1iBD2KSowIXSplL4yZNHPXEccvaPrLYYo+1rqHscIt618S5K5tNhw&#10;XDDY0Zeh6lT+WQXFdpn95sVPGP7fz1m+axIztAelnp+mzw8QgaZwD9/aW61gCdcr8QbI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iKgxAAAANoAAAAPAAAAAAAAAAAA&#10;AAAAAKECAABkcnMvZG93bnJldi54bWxQSwUGAAAAAAQABAD5AAAAkgMAAAAA&#10;" strokeweight=".5pt">
                  <v:stroke endarrow="block" joinstyle="miter"/>
                </v:shape>
                <v:shape id="Straight Arrow Connector 10" o:spid="_x0000_s1038" type="#_x0000_t32" style="position:absolute;left:22183;top:7239;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CL4sMAAADbAAAADwAAAGRycy9kb3ducmV2LnhtbESPT4vCQAzF78J+hyHCXkSn7kGkOooI&#10;olf/ID3GTmyrnUy3M9but98cFvaW8F7e+2W57l2tOmpD5dnAdJKAIs69rbgwcDnvxnNQISJbrD2T&#10;gR8KsF59DJaYWv/mI3WnWCgJ4ZCigTLGJtU65CU5DBPfEIt2963DKGtbaNviW8Jdrb+SZKYdViwN&#10;JTa0LSl/nl7OwPf9UWXHXYPX/e1Z3F7ZqKsPI2M+h/1mASpSH//Nf9cHK/hCL7/IAHr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gi+LDAAAA2wAAAA8AAAAAAAAAAAAA&#10;AAAAoQIAAGRycy9kb3ducmV2LnhtbFBLBQYAAAAABAAEAPkAAACRAwAAAAA=&#10;" strokeweight=".5pt">
                  <v:stroke endarrow="block" joinstyle="miter"/>
                </v:shape>
                <v:shape id="Straight Arrow Connector 11" o:spid="_x0000_s1039" type="#_x0000_t32" style="position:absolute;left:22183;top:17716;width:90;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wueb4AAADbAAAADwAAAGRycy9kb3ducmV2LnhtbERPSwrCMBDdC94hjOBGNNWFSDWKCKJb&#10;P4jLsRnbajOpTaz19kYQ3M3jfWe2aEwhaqpcblnBcBCBIE6szjlVcDys+xMQziNrLCyTgjc5WMzb&#10;rRnG2r54R/XepyKEsItRQeZ9GUvpkowMuoEtiQN3tZVBH2CVSl3hK4SbQo6iaCwN5hwaMixplVFy&#10;3z+Ngsf1lp936xJPm8s9vTzPvbrY9pTqdprlFISnxv/FP/dWh/lD+P4SDpDz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mbC55vgAAANsAAAAPAAAAAAAAAAAAAAAAAKEC&#10;AABkcnMvZG93bnJldi54bWxQSwUGAAAAAAQABAD5AAAAjAMAAAAA&#10;" strokeweight=".5pt">
                  <v:stroke endarrow="block" joinstyle="miter"/>
                </v:shape>
                <v:shape id="Straight Arrow Connector 12" o:spid="_x0000_s1040" type="#_x0000_t32" style="position:absolute;left:22468;top:42428;width:0;height:28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fKeMEAAADbAAAADwAAAGRycy9kb3ducmV2LnhtbERPTYvCMBC9C/sfwgjeNFVQdqtRZEF0&#10;PQhWL3sbmrEpNpPSxFr31xtB2Ns83ucsVp2tREuNLx0rGI8SEMS50yUXCs6nzfAThA/IGivHpOBB&#10;HlbLj94CU+3ufKQ2C4WIIexTVGBCqFMpfW7Ioh+5mjhyF9dYDBE2hdQN3mO4reQkSWbSYsmxwWBN&#10;34bya3azCg67r+3v/vAT2r/pY7s/lolpq7NSg363noMI1IV/8du903H+BF6/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58p4wQAAANsAAAAPAAAAAAAAAAAAAAAA&#10;AKECAABkcnMvZG93bnJldi54bWxQSwUGAAAAAAQABAD5AAAAjwMAAAAA&#10;" strokeweight=".5pt">
                  <v:stroke endarrow="block" joinstyle="miter"/>
                </v:shape>
                <v:line id="Straight Connector 13" o:spid="_x0000_s1041" style="position:absolute;flip:y;visibility:visible;mso-wrap-style:square" from="8477,30003" to="37147,30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D+m8AAAADbAAAADwAAAGRycy9kb3ducmV2LnhtbERP3WrCMBS+H+wdwhnsbqY6mFKNIoKj&#10;MHbR6gMck2PTrTkpTbTd2y+C4N35+H7PajO6VlypD41nBdNJBoJYe9NwreB42L8tQISIbLD1TAr+&#10;KMBm/fy0wtz4gUu6VrEWKYRDjgpsjF0uZdCWHIaJ74gTd/a9w5hgX0vT45DCXStnWfYhHTacGix2&#10;tLOkf6uLU/C9OJT4VZRzNHQu8OfzZFmflHp9GbdLEJHG+BDf3YVJ89/h9ks6QK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w/pvAAAAA2wAAAA8AAAAAAAAAAAAAAAAA&#10;oQIAAGRycy9kb3ducmV2LnhtbFBLBQYAAAAABAAEAPkAAACOAwAAAAA=&#10;" strokeweight=".5pt">
                  <v:stroke joinstyle="miter"/>
                </v:line>
                <v:line id="Straight Connector 14" o:spid="_x0000_s1042" style="position:absolute;visibility:visible;mso-wrap-style:square" from="8572,30119" to="8572,3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J9ar4AAADbAAAADwAAAGRycy9kb3ducmV2LnhtbERPS4vCMBC+C/6HMII3TVd0WWujiCCI&#10;t9XufWjGPraZlCRq++/NgrC3+fiek+1604oHOV9bVvAxT0AQF1bXXCrIr8fZFwgfkDW2lknBQB52&#10;2/Eow1TbJ3/T4xJKEUPYp6igCqFLpfRFRQb93HbEkbtZZzBE6EqpHT5juGnlIkk+pcGaY0OFHR0q&#10;Kn4vd6MAz8n5Jx+uq1uLZtkM+drpRis1nfT7DYhAffgXv90nHecv4e+XeID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RMn1qvgAAANsAAAAPAAAAAAAAAAAAAAAAAKEC&#10;AABkcnMvZG93bnJldi54bWxQSwUGAAAAAAQABAD5AAAAjAMAAAAA&#10;" strokeweight=".5pt">
                  <v:stroke joinstyle="miter"/>
                </v:line>
                <v:line id="Straight Connector 15" o:spid="_x0000_s1043" style="position:absolute;visibility:visible;mso-wrap-style:square" from="37052,30099" to="37052,3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Y8b8AAADbAAAADwAAAGRycy9kb3ducmV2LnhtbERPyWrDMBC9B/IPYgK9JXJLU1rXsgmB&#10;QsktiXsfrImXWiMjqV7+vioEepvHWycrZtOLkZxvLSt43CUgiCurW64VlNeP7SsIH5A19pZJwUIe&#10;iny9yjDVduIzjZdQixjCPkUFTQhDKqWvGjLod3YgjtzNOoMhQldL7XCK4aaXT0nyIg22HBsaHOjY&#10;UPV9+TEK8JScvsrlur/1aJ67pXxzutNKPWzmwzuIQHP4F9/dnzrO38PfL/EAmf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7Y8b8AAADbAAAADwAAAAAAAAAAAAAAAACh&#10;AgAAZHJzL2Rvd25yZXYueG1sUEsFBgAAAAAEAAQA+QAAAI0DAAAAAA==&#10;" strokeweight=".5pt">
                  <v:stroke joinstyle="miter"/>
                </v:line>
                <v:rect id="Rectangle 16" o:spid="_x0000_s1044" style="position:absolute;left:3905;top:32207;width:9430;height:32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swcAA&#10;AADbAAAADwAAAGRycy9kb3ducmV2LnhtbERPS4vCMBC+C/6HMII3TfUgSzUWEQUPXtrdg96GZmyL&#10;zaQ0sQ9//WZB2Nt8fM/ZJYOpRUetqywrWC0jEMS51RUXCn6+z4svEM4ja6wtk4KRHCT76WSHsbY9&#10;p9RlvhAhhF2MCkrvm1hKl5dk0C1tQxy4h20N+gDbQuoW+xBuarmOoo00WHFoKLGhY0n5M3sZBZgN&#10;93Ecb30v0zqqTu+0ya6pUvPZcNiC8DT4f/HHfdFh/gb+fgkHy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JswcAAAADbAAAADwAAAAAAAAAAAAAAAACYAgAAZHJzL2Rvd25y&#10;ZXYueG1sUEsFBgAAAAAEAAQA9QAAAIUDAAAAAA==&#10;" strokeweight="1pt">
                  <v:textbox>
                    <w:txbxContent>
                      <w:p w:rsidR="00BF2BB0" w:rsidRDefault="00BF2BB0" w:rsidP="00BF2BB0">
                        <w:pPr>
                          <w:jc w:val="center"/>
                        </w:pPr>
                        <w:r>
                          <w:t>Gingivitis</w:t>
                        </w:r>
                      </w:p>
                    </w:txbxContent>
                  </v:textbox>
                </v:rect>
                <v:rect id="Rectangle 17" o:spid="_x0000_s1045" style="position:absolute;left:32099;top:32024;width:10096;height:26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7JWsAA&#10;AADbAAAADwAAAGRycy9kb3ducmV2LnhtbERPTYvCMBC9C/6HMAveNF0PKl3TsiwKHry0enBvQzPb&#10;lm0mpYm29dcbQfA2j/c523QwjbhR52rLCj4XEQjiwuqaSwXn036+AeE8ssbGMikYyUGaTCdbjLXt&#10;OaNb7ksRQtjFqKDyvo2ldEVFBt3CtsSB+7OdQR9gV0rdYR/CTSOXUbSSBmsODRW29FNR8Z9fjQLM&#10;h99xHC99L7Mmqnf3rM2PmVKzj+H7C4Snwb/FL/dBh/lreP4SDpD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7JWsAAAADbAAAADwAAAAAAAAAAAAAAAACYAgAAZHJzL2Rvd25y&#10;ZXYueG1sUEsFBgAAAAAEAAQA9QAAAIUDAAAAAA==&#10;" strokeweight="1pt">
                  <v:textbox>
                    <w:txbxContent>
                      <w:p w:rsidR="00BF2BB0" w:rsidRDefault="00BF2BB0" w:rsidP="00BF2BB0">
                        <w:pPr>
                          <w:jc w:val="center"/>
                        </w:pPr>
                        <w:r>
                          <w:t>Periodontitis</w:t>
                        </w:r>
                      </w:p>
                    </w:txbxContent>
                  </v:textbox>
                </v:rect>
                <v:line id="Straight Connector 18" o:spid="_x0000_s1046" style="position:absolute;visibility:visible;mso-wrap-style:square" from="22079,27432" to="22079,30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93b8EAAADbAAAADwAAAGRycy9kb3ducmV2LnhtbESPQWvCQBCF7wX/wzJCb3WjtKVGVxFB&#10;EG/V9D5kxySanQ27qyb/3jkIvc3w3rz3zXLdu1bdKcTGs4HpJANFXHrbcGWgOO0+fkDFhGyx9UwG&#10;BoqwXo3elphb/+Bfuh9TpSSEY44G6pS6XOtY1uQwTnxHLNrZB4dJ1lBpG/Ah4a7Vsyz71g4bloYa&#10;O9rWVF6PN2cAD9nhrxhOX+cW3edlKObBXqwx7+N+swCVqE//5tf13gq+wMovMoBe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f3dvwQAAANsAAAAPAAAAAAAAAAAAAAAA&#10;AKECAABkcnMvZG93bnJldi54bWxQSwUGAAAAAAQABAD5AAAAjwMAAAAA&#10;" strokeweight=".5pt">
                  <v:stroke joinstyle="miter"/>
                </v:line>
                <v:shape id="Straight Arrow Connector 19" o:spid="_x0000_s1047" type="#_x0000_t32" style="position:absolute;left:8382;top:35623;width:0;height:46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NYCcEAAADbAAAADwAAAGRycy9kb3ducmV2LnhtbERPS4vCMBC+C/6HMII3TRVc1moUEcTH&#10;QfBx8TY0Y1NsJqWJtfrrNwsLe5uP7znzZWtL0VDtC8cKRsMEBHHmdMG5gutlM/gG4QOyxtIxKXiT&#10;h+Wi25ljqt2LT9ScQy5iCPsUFZgQqlRKnxmy6IeuIo7c3dUWQ4R1LnWNrxhuSzlOki9pseDYYLCi&#10;taHscX5aBcfddHs7HPeh+Uze28OpSExTXpXq99rVDESgNvyL/9w7HedP4feXeIB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Q1gJwQAAANsAAAAPAAAAAAAAAAAAAAAA&#10;AKECAABkcnMvZG93bnJldi54bWxQSwUGAAAAAAQABAD5AAAAjwMAAAAA&#10;" strokeweight=".5pt">
                  <v:stroke endarrow="block" joinstyle="miter"/>
                </v:shape>
                <v:line id="Straight Connector 20" o:spid="_x0000_s1048" style="position:absolute;visibility:visible;mso-wrap-style:square" from="8597,40290" to="14785,40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Wx1L4AAADbAAAADwAAAGRycy9kb3ducmV2LnhtbERPy4rCMBTdD/gP4Qqzm6bKzKDVVEQQ&#10;xN1o3V+aax82NyWJ2v69WQizPJz3ejOYTjzI+cayglmSgiAurW64UlCc918LED4ga+wsk4KRPGzy&#10;yccaM22f/EePU6hEDGGfoYI6hD6T0pc1GfSJ7Ykjd7XOYIjQVVI7fMZw08l5mv5Kgw3Hhhp72tVU&#10;3k53owCP6fFSjOefa4fmux2LpdOtVupzOmxXIAIN4V/8dh+0gnlcH7/EHyDz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ZbHUvgAAANsAAAAPAAAAAAAAAAAAAAAAAKEC&#10;AABkcnMvZG93bnJldi54bWxQSwUGAAAAAAQABAD5AAAAjAMAAAAA&#10;" strokeweight=".5pt">
                  <v:stroke joinstyle="miter"/>
                </v:line>
                <v:shape id="Straight Arrow Connector 21" o:spid="_x0000_s1049" type="#_x0000_t32" style="position:absolute;left:36957;top:34765;width:95;height:54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ltb0AAADbAAAADwAAAGRycy9kb3ducmV2LnhtbESPzQrCMBCE74LvEFbwpqk9qFSjiCB4&#10;9QfB29KsTbHZlCa29e2NIHgcZuYbZr3tbSVaanzpWMFsmoAgzp0uuVBwvRwmSxA+IGusHJOCN3nY&#10;boaDNWbadXyi9hwKESHsM1RgQqgzKX1uyKKfupo4eg/XWAxRNoXUDXYRbiuZJslcWiw5LhisaW8o&#10;f55fVsGuNeGYUofY3m+LNLFLWVy8UuNRv1uBCNSHf/jXPmoF6Qy+X+IPkJ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e1ZbW9AAAA2wAAAA8AAAAAAAAAAAAAAAAAoQIA&#10;AGRycy9kb3ducmV2LnhtbFBLBQYAAAAABAAEAPkAAACLAwAAAAA=&#10;" strokeweight=".5pt">
                  <v:stroke endarrow="block" joinstyle="miter"/>
                </v:shape>
                <v:line id="Straight Connector 22" o:spid="_x0000_s1050" style="position:absolute;visibility:visible;mso-wrap-style:square" from="29718,39952" to="36957,39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OMAAAADbAAAADwAAAGRycy9kb3ducmV2LnhtbESPQYvCMBSE78L+h/AWvNnUsopWoywL&#10;C4s3td4fzbOtNi8lyWr7740geBxm5htmve1NK27kfGNZwTRJQRCXVjdcKSiOv5MFCB+QNbaWScFA&#10;Hrabj9Eac23vvKfbIVQiQtjnqKAOocul9GVNBn1iO+Lona0zGKJ0ldQO7xFuWpml6VwabDgu1NjR&#10;T03l9fBvFOAu3Z2K4Tg7t2i+LkOxdPqilRp/9t8rEIH68A6/2n9aQZbB80v8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7ijjAAAAA2wAAAA8AAAAAAAAAAAAAAAAA&#10;oQIAAGRycy9kb3ducmV2LnhtbFBLBQYAAAAABAAEAPkAAACOAwAAAAA=&#10;" strokeweight=".5pt">
                  <v:stroke joinstyle="miter"/>
                </v:line>
                <w10:anchorlock/>
              </v:group>
            </w:pict>
          </mc:Fallback>
        </mc:AlternateContent>
      </w:r>
    </w:p>
    <w:p w:rsidR="00BF2BB0" w:rsidRDefault="00BF2BB0" w:rsidP="00BF2BB0">
      <w:pPr>
        <w:spacing w:line="480" w:lineRule="auto"/>
        <w:jc w:val="center"/>
        <w:rPr>
          <w:rFonts w:ascii="Times New Roman" w:hAnsi="Times New Roman" w:cs="Times New Roman"/>
          <w:b/>
          <w:sz w:val="24"/>
        </w:rPr>
      </w:pPr>
      <w:r>
        <w:rPr>
          <w:rFonts w:ascii="Times New Roman" w:hAnsi="Times New Roman" w:cs="Times New Roman"/>
          <w:b/>
          <w:sz w:val="24"/>
        </w:rPr>
        <w:t>Gambar 2.8 Kerangka Teori</w:t>
      </w:r>
    </w:p>
    <w:p w:rsidR="000F3833" w:rsidRDefault="000F3833">
      <w:bookmarkStart w:id="111" w:name="_GoBack"/>
      <w:bookmarkEnd w:id="111"/>
    </w:p>
    <w:sectPr w:rsidR="000F3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hybridMultilevel"/>
    <w:tmpl w:val="21229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C"/>
    <w:multiLevelType w:val="hybridMultilevel"/>
    <w:tmpl w:val="56E4B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2"/>
    <w:multiLevelType w:val="hybridMultilevel"/>
    <w:tmpl w:val="09124A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15"/>
    <w:multiLevelType w:val="hybridMultilevel"/>
    <w:tmpl w:val="59326B92"/>
    <w:lvl w:ilvl="0" w:tplc="7D0A5B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16"/>
    <w:multiLevelType w:val="hybridMultilevel"/>
    <w:tmpl w:val="2F74DA8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0000017"/>
    <w:multiLevelType w:val="hybridMultilevel"/>
    <w:tmpl w:val="1ABE342A"/>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0000019"/>
    <w:multiLevelType w:val="hybridMultilevel"/>
    <w:tmpl w:val="650AC06C"/>
    <w:lvl w:ilvl="0" w:tplc="A9BACDC8">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1A"/>
    <w:multiLevelType w:val="hybridMultilevel"/>
    <w:tmpl w:val="C038B4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1B"/>
    <w:multiLevelType w:val="hybridMultilevel"/>
    <w:tmpl w:val="3320AD7A"/>
    <w:lvl w:ilvl="0" w:tplc="B4281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1C"/>
    <w:multiLevelType w:val="hybridMultilevel"/>
    <w:tmpl w:val="C4B29D3E"/>
    <w:lvl w:ilvl="0" w:tplc="F296F2E6">
      <w:start w:val="1"/>
      <w:numFmt w:val="upperLetter"/>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1D"/>
    <w:multiLevelType w:val="hybridMultilevel"/>
    <w:tmpl w:val="16C2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1F"/>
    <w:multiLevelType w:val="hybridMultilevel"/>
    <w:tmpl w:val="CFD0F4DA"/>
    <w:lvl w:ilvl="0" w:tplc="6D7EF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000020"/>
    <w:multiLevelType w:val="hybridMultilevel"/>
    <w:tmpl w:val="C1B0EE7E"/>
    <w:lvl w:ilvl="0" w:tplc="C194EAF2">
      <w:start w:val="1"/>
      <w:numFmt w:val="decimal"/>
      <w:lvlText w:val="%1."/>
      <w:lvlJc w:val="left"/>
      <w:pPr>
        <w:ind w:left="1500" w:hanging="360"/>
      </w:pPr>
      <w:rPr>
        <w:rFonts w:hint="default"/>
      </w:rPr>
    </w:lvl>
    <w:lvl w:ilvl="1" w:tplc="7230FA1E">
      <w:start w:val="1"/>
      <w:numFmt w:val="lowerLetter"/>
      <w:lvlText w:val="%2."/>
      <w:lvlJc w:val="left"/>
      <w:pPr>
        <w:ind w:left="2220" w:hanging="360"/>
      </w:pPr>
      <w:rPr>
        <w:b/>
      </w:rPr>
    </w:lvl>
    <w:lvl w:ilvl="2" w:tplc="DA78ABD6">
      <w:start w:val="1"/>
      <w:numFmt w:val="upperLetter"/>
      <w:lvlText w:val="%3."/>
      <w:lvlJc w:val="left"/>
      <w:pPr>
        <w:ind w:left="360" w:hanging="360"/>
      </w:pPr>
      <w:rPr>
        <w:rFonts w:hint="default"/>
        <w:b/>
      </w:rPr>
    </w:lvl>
    <w:lvl w:ilvl="3" w:tplc="4EE4FAF0">
      <w:start w:val="1"/>
      <w:numFmt w:val="lowerLetter"/>
      <w:lvlText w:val="%4)"/>
      <w:lvlJc w:val="left"/>
      <w:pPr>
        <w:ind w:left="1170" w:hanging="360"/>
      </w:pPr>
      <w:rPr>
        <w:rFonts w:hint="default"/>
      </w:rPr>
    </w:lvl>
    <w:lvl w:ilvl="4" w:tplc="B7F27608">
      <w:start w:val="1"/>
      <w:numFmt w:val="decimal"/>
      <w:lvlText w:val="%5)"/>
      <w:lvlJc w:val="left"/>
      <w:pPr>
        <w:ind w:left="1170" w:hanging="360"/>
      </w:pPr>
      <w:rPr>
        <w:rFonts w:hint="default"/>
      </w:r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nsid w:val="00000025"/>
    <w:multiLevelType w:val="hybridMultilevel"/>
    <w:tmpl w:val="35EE3D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C91D5E"/>
    <w:multiLevelType w:val="hybridMultilevel"/>
    <w:tmpl w:val="B8E6E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0"/>
  </w:num>
  <w:num w:numId="4">
    <w:abstractNumId w:val="3"/>
  </w:num>
  <w:num w:numId="5">
    <w:abstractNumId w:val="1"/>
  </w:num>
  <w:num w:numId="6">
    <w:abstractNumId w:val="7"/>
  </w:num>
  <w:num w:numId="7">
    <w:abstractNumId w:val="2"/>
  </w:num>
  <w:num w:numId="8">
    <w:abstractNumId w:val="5"/>
  </w:num>
  <w:num w:numId="9">
    <w:abstractNumId w:val="11"/>
  </w:num>
  <w:num w:numId="10">
    <w:abstractNumId w:val="8"/>
  </w:num>
  <w:num w:numId="11">
    <w:abstractNumId w:val="12"/>
  </w:num>
  <w:num w:numId="12">
    <w:abstractNumId w:val="6"/>
  </w:num>
  <w:num w:numId="13">
    <w:abstractNumId w:val="4"/>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C3B"/>
    <w:rsid w:val="000F3833"/>
    <w:rsid w:val="00467C3B"/>
    <w:rsid w:val="00BF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6C334-2870-4974-A1D1-0D7D11FC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BB0"/>
    <w:rPr>
      <w:rFonts w:ascii="Calibri" w:eastAsia="Calibri" w:hAnsi="Calibri" w:cs="Arial"/>
    </w:rPr>
  </w:style>
  <w:style w:type="paragraph" w:styleId="Heading1">
    <w:name w:val="heading 1"/>
    <w:basedOn w:val="Normal"/>
    <w:next w:val="Normal"/>
    <w:link w:val="Heading1Char"/>
    <w:uiPriority w:val="9"/>
    <w:qFormat/>
    <w:rsid w:val="00BF2BB0"/>
    <w:pPr>
      <w:spacing w:line="480" w:lineRule="auto"/>
      <w:jc w:val="center"/>
      <w:outlineLvl w:val="0"/>
    </w:pPr>
    <w:rPr>
      <w:rFonts w:ascii="Times New Roman" w:hAnsi="Times New Roman" w:cs="Times New Roman"/>
      <w:b/>
      <w:bCs/>
      <w:sz w:val="24"/>
    </w:rPr>
  </w:style>
  <w:style w:type="paragraph" w:styleId="Heading2">
    <w:name w:val="heading 2"/>
    <w:basedOn w:val="ListParagraph"/>
    <w:next w:val="Normal"/>
    <w:link w:val="Heading2Char"/>
    <w:uiPriority w:val="9"/>
    <w:unhideWhenUsed/>
    <w:qFormat/>
    <w:rsid w:val="00BF2BB0"/>
    <w:pPr>
      <w:numPr>
        <w:numId w:val="1"/>
      </w:numPr>
      <w:tabs>
        <w:tab w:val="left" w:pos="426"/>
      </w:tabs>
      <w:spacing w:after="0" w:line="480" w:lineRule="auto"/>
      <w:jc w:val="both"/>
      <w:outlineLvl w:val="1"/>
    </w:pPr>
    <w:rPr>
      <w:rFonts w:ascii="Times New Roman" w:hAnsi="Times New Roman" w:cs="Times New Roman"/>
      <w:b/>
      <w:sz w:val="24"/>
    </w:rPr>
  </w:style>
  <w:style w:type="paragraph" w:styleId="Heading3">
    <w:name w:val="heading 3"/>
    <w:basedOn w:val="Normal"/>
    <w:next w:val="Normal"/>
    <w:link w:val="Heading3Char"/>
    <w:uiPriority w:val="9"/>
    <w:unhideWhenUsed/>
    <w:qFormat/>
    <w:rsid w:val="00BF2BB0"/>
    <w:pPr>
      <w:spacing w:line="480" w:lineRule="auto"/>
      <w:ind w:left="360"/>
      <w:jc w:val="both"/>
      <w:outlineLvl w:val="2"/>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BB0"/>
    <w:rPr>
      <w:rFonts w:ascii="Times New Roman" w:eastAsia="Calibri" w:hAnsi="Times New Roman" w:cs="Times New Roman"/>
      <w:b/>
      <w:bCs/>
      <w:sz w:val="24"/>
    </w:rPr>
  </w:style>
  <w:style w:type="character" w:customStyle="1" w:styleId="Heading2Char">
    <w:name w:val="Heading 2 Char"/>
    <w:basedOn w:val="DefaultParagraphFont"/>
    <w:link w:val="Heading2"/>
    <w:uiPriority w:val="9"/>
    <w:rsid w:val="00BF2BB0"/>
    <w:rPr>
      <w:rFonts w:ascii="Times New Roman" w:eastAsia="Calibri" w:hAnsi="Times New Roman" w:cs="Times New Roman"/>
      <w:b/>
      <w:sz w:val="24"/>
    </w:rPr>
  </w:style>
  <w:style w:type="character" w:customStyle="1" w:styleId="Heading3Char">
    <w:name w:val="Heading 3 Char"/>
    <w:basedOn w:val="DefaultParagraphFont"/>
    <w:link w:val="Heading3"/>
    <w:uiPriority w:val="9"/>
    <w:rsid w:val="00BF2BB0"/>
    <w:rPr>
      <w:rFonts w:ascii="Times New Roman" w:eastAsia="Calibri" w:hAnsi="Times New Roman" w:cs="Times New Roman"/>
      <w:b/>
      <w:sz w:val="24"/>
    </w:rPr>
  </w:style>
  <w:style w:type="paragraph" w:styleId="ListParagraph">
    <w:name w:val="List Paragraph"/>
    <w:basedOn w:val="Normal"/>
    <w:uiPriority w:val="34"/>
    <w:qFormat/>
    <w:rsid w:val="00BF2BB0"/>
    <w:pPr>
      <w:ind w:left="720"/>
      <w:contextualSpacing/>
    </w:pPr>
  </w:style>
  <w:style w:type="character" w:styleId="Hyperlink">
    <w:name w:val="Hyperlink"/>
    <w:basedOn w:val="DefaultParagraphFont"/>
    <w:uiPriority w:val="99"/>
    <w:rsid w:val="00BF2BB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figure/Marginal-free-gingiva-attached-gingiva-and-alveolar-mucosa_fig4_237819432" TargetMode="External"/><Relationship Id="rId13" Type="http://schemas.openxmlformats.org/officeDocument/2006/relationships/image" Target="media/image5.jpeg"/><Relationship Id="rId18" Type="http://schemas.openxmlformats.org/officeDocument/2006/relationships/hyperlink" Target="http://prasko17.blogspot.com/2012/09/pengertian-kalkulus-dan-jenis-kalkulus.htm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journal.umy.ac.id/index.php/di/article/download/6997/pdf_34"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ienkz02.blogspot.com/2011/04/antara-debris-plak-dan-karang-gigi.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pository.unair.ac.id/20059/2/gdlhub-gdl-s1-2010-arynuzulul-10854-kg1910-k.pdf"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www.alomedika.com/penyakit/kesehatan-gigi-dan-mulut/periodontiti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irmadamasurya.wordpress.com/category/periodont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4121</Words>
  <Characters>23495</Characters>
  <Application>Microsoft Office Word</Application>
  <DocSecurity>0</DocSecurity>
  <Lines>195</Lines>
  <Paragraphs>55</Paragraphs>
  <ScaleCrop>false</ScaleCrop>
  <Company/>
  <LinksUpToDate>false</LinksUpToDate>
  <CharactersWithSpaces>27561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2022-10-19T02:40:00Z</dcterms:created>
  <dcterms:modified xsi:type="dcterms:W3CDTF">2022-10-19T02:41:00Z</dcterms:modified>
</cp:coreProperties>
</file>