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2C" w:rsidRDefault="000C682C" w:rsidP="000C682C">
      <w:pPr>
        <w:jc w:val="center"/>
        <w:rPr>
          <w:b/>
          <w:lang w:val="en-US"/>
        </w:rPr>
      </w:pPr>
      <w:r>
        <w:rPr>
          <w:b/>
          <w:lang w:val="en-US"/>
        </w:rPr>
        <w:t>DAFTAR PUSTAKA</w:t>
      </w:r>
    </w:p>
    <w:p w:rsidR="000C682C" w:rsidRDefault="000C682C" w:rsidP="000C682C">
      <w:pPr>
        <w:rPr>
          <w:b/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</w:pPr>
      <w:r>
        <w:t>Aldiaman, H. 2016. Efektifitas Menyikat Gigi dengan Metode Fone terhadap Indeks Kebersihan Rongga Mulut Tinjauan pada Pasien Stroke di Klinik Millennia Banjarmasin Tahun 2014. Jurnal Kedokteran Gigi, I (2), 119- 123.</w:t>
      </w:r>
    </w:p>
    <w:p w:rsidR="000C682C" w:rsidRDefault="000C682C" w:rsidP="000C682C">
      <w:pPr>
        <w:ind w:left="630" w:hanging="630"/>
        <w:jc w:val="both"/>
      </w:pPr>
    </w:p>
    <w:p w:rsidR="000C682C" w:rsidRDefault="000C682C" w:rsidP="000C682C">
      <w:pPr>
        <w:ind w:left="630" w:hanging="630"/>
        <w:jc w:val="both"/>
      </w:pPr>
      <w:r>
        <w:t>Ariyani, N.H 2012. Hubungan Pengetahuan tentang Kesehatan Gigi dan Mulut dengan Oral Hygiene Index Siswa Kelas V Sekolah Dasar Negeri Bulukantil Kecamatan Jebres. Jurnal Fakultas Kedokteran UNS 1(2)</w:t>
      </w:r>
    </w:p>
    <w:p w:rsidR="000C682C" w:rsidRDefault="000C682C" w:rsidP="000C682C">
      <w:pPr>
        <w:ind w:left="630" w:hanging="630"/>
        <w:jc w:val="both"/>
      </w:pPr>
    </w:p>
    <w:p w:rsidR="000C682C" w:rsidRDefault="000C682C" w:rsidP="000C682C">
      <w:pPr>
        <w:jc w:val="both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Arifin, Z. (2020). Metodologi pendidikan pendidikan. </w:t>
      </w:r>
      <w:r>
        <w:rPr>
          <w:rFonts w:cs="Times New Roman"/>
          <w:i/>
          <w:iCs/>
          <w:color w:val="222222"/>
          <w:szCs w:val="24"/>
          <w:shd w:val="clear" w:color="auto" w:fill="FFFFFF"/>
        </w:rPr>
        <w:t>Jurnal Al-Hikmah</w:t>
      </w:r>
      <w:r>
        <w:rPr>
          <w:rFonts w:cs="Times New Roman"/>
          <w:color w:val="222222"/>
          <w:szCs w:val="24"/>
          <w:shd w:val="clear" w:color="auto" w:fill="FFFFFF"/>
        </w:rPr>
        <w:t> , </w:t>
      </w:r>
      <w:r>
        <w:rPr>
          <w:rFonts w:cs="Times New Roman"/>
          <w:i/>
          <w:iCs/>
          <w:color w:val="222222"/>
          <w:szCs w:val="24"/>
          <w:shd w:val="clear" w:color="auto" w:fill="FFFFFF"/>
        </w:rPr>
        <w:t>1</w:t>
      </w:r>
      <w:r>
        <w:rPr>
          <w:rFonts w:cs="Times New Roman"/>
          <w:color w:val="222222"/>
          <w:szCs w:val="24"/>
          <w:shd w:val="clear" w:color="auto" w:fill="FFFFFF"/>
        </w:rPr>
        <w:t> (1).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Astannudinsyah, Ruwanda RA, Basid A. (2019). Faktor-Faktor yang Berhubungan dengan Status Karies Gigi pada Anak Sekolah Min 1 Kota Banjarmasin. </w:t>
      </w:r>
      <w:r>
        <w:rPr>
          <w:i/>
          <w:lang w:val="en-US"/>
        </w:rPr>
        <w:t>Jurnal Kesehatan Indonesia</w:t>
      </w:r>
      <w:r>
        <w:rPr>
          <w:lang w:val="en-US"/>
        </w:rPr>
        <w:t>;9 (3):149–56. 3.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Bawaskar HS, Bawaskar PH. </w:t>
      </w:r>
      <w:r>
        <w:t>(</w:t>
      </w:r>
      <w:r>
        <w:rPr>
          <w:lang w:val="en-US"/>
        </w:rPr>
        <w:t>2020</w:t>
      </w:r>
      <w:r>
        <w:t xml:space="preserve">). </w:t>
      </w:r>
      <w:r>
        <w:rPr>
          <w:lang w:val="en-US"/>
        </w:rPr>
        <w:t xml:space="preserve">Oral diseases: a global public health challenge. </w:t>
      </w:r>
      <w:r>
        <w:rPr>
          <w:i/>
          <w:lang w:val="en-US"/>
        </w:rPr>
        <w:t>Lancet</w:t>
      </w:r>
      <w:r>
        <w:rPr>
          <w:lang w:val="en-US"/>
        </w:rPr>
        <w:t>. Jan 18;395(10219):185-186. doi: 10.1016/S0140-6736(19)33016-8. PMID: 31954454.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</w:pPr>
      <w:r>
        <w:rPr>
          <w:lang w:val="en-US"/>
        </w:rPr>
        <w:t xml:space="preserve">Bracksley-O’Grady, S., Anderson, K. &amp; Masood, M. Oral health academics’ conceptualisation of health promotion and perceived barriers and opportunities in dental practice: a qualitative study. </w:t>
      </w:r>
      <w:r>
        <w:rPr>
          <w:i/>
          <w:lang w:val="en-US"/>
        </w:rPr>
        <w:t>BMC Oral Health 21,</w:t>
      </w:r>
      <w:r>
        <w:rPr>
          <w:lang w:val="en-US"/>
        </w:rPr>
        <w:t xml:space="preserve"> 165 (2021). </w:t>
      </w:r>
      <w:hyperlink r:id="rId6" w:history="1">
        <w:r>
          <w:rPr>
            <w:rStyle w:val="Hyperlink"/>
            <w:lang w:val="en-US"/>
          </w:rPr>
          <w:t>https://doi.org/10.1186/s12903-021-01508-0</w:t>
        </w:r>
      </w:hyperlink>
      <w:r>
        <w:t xml:space="preserve"> 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>Budi, Diding Prasetiyo (2017) Hubungan Perilaku Perawatan Gigi dengan Kejadian Karies Gigi pada Anak Usia 6 – 9 Tahun di SDN Pragaan Laok 1 Sumenep. Undergraduate thesis, Universitas Muhammadiyah Surabaya.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Centers for Disease Control and Prevention (CDC) </w:t>
      </w:r>
      <w:r>
        <w:rPr>
          <w:i/>
          <w:lang w:val="en-US"/>
        </w:rPr>
        <w:t>Basics of oral health</w:t>
      </w:r>
      <w:r>
        <w:rPr>
          <w:lang w:val="en-US"/>
        </w:rPr>
        <w:t xml:space="preserve">. Oral Health. Updated January 4, </w:t>
      </w:r>
      <w:r>
        <w:t>(</w:t>
      </w:r>
      <w:r>
        <w:rPr>
          <w:lang w:val="en-US"/>
        </w:rPr>
        <w:t>2021</w:t>
      </w:r>
      <w:r>
        <w:t>)</w:t>
      </w:r>
      <w:r>
        <w:rPr>
          <w:lang w:val="en-US"/>
        </w:rPr>
        <w:t>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>Department of Scientific Information, ADA Science Institute. Mouthwash (mouthrinse). American Dental Association. Updated August 29, 2019.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Dimas. </w:t>
      </w:r>
      <w:r>
        <w:t>(</w:t>
      </w:r>
      <w:r>
        <w:rPr>
          <w:lang w:val="en-US"/>
        </w:rPr>
        <w:t>2013</w:t>
      </w:r>
      <w:r>
        <w:t>)</w:t>
      </w:r>
      <w:r>
        <w:rPr>
          <w:lang w:val="en-US"/>
        </w:rPr>
        <w:t xml:space="preserve">. </w:t>
      </w:r>
      <w:r>
        <w:rPr>
          <w:i/>
          <w:lang w:val="en-US"/>
        </w:rPr>
        <w:t>Pengemis Undercover</w:t>
      </w:r>
      <w:r>
        <w:rPr>
          <w:lang w:val="en-US"/>
        </w:rPr>
        <w:t>. Jakarta: Titik Media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567" w:hanging="567"/>
        <w:rPr>
          <w:rStyle w:val="Hyperlink"/>
        </w:rPr>
      </w:pPr>
      <w:r>
        <w:t xml:space="preserve">Dinsos Jakarta. 2021. Akses di </w:t>
      </w:r>
      <w:hyperlink r:id="rId7" w:history="1">
        <w:r>
          <w:rPr>
            <w:rStyle w:val="Hyperlink"/>
            <w:lang w:val="en-US"/>
          </w:rPr>
          <w:t>https://www.bing.com/search?q=dinsos+jakarta&amp;cvid=aaaaf49657d2497d8837a586eebb6537&amp;aqs=edge.0.0j69i57j0l4j69i64.2928j0j9&amp;FORM=ANAB01&amp;PC=U53</w:t>
        </w:r>
        <w:r>
          <w:rPr>
            <w:rStyle w:val="Hyperlink"/>
          </w:rPr>
          <w:t>1</w:t>
        </w:r>
      </w:hyperlink>
    </w:p>
    <w:p w:rsidR="000C682C" w:rsidRDefault="000C682C" w:rsidP="000C682C">
      <w:pPr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t>Dr. Srinivas R. Status Kesehatan Oral Anak Jalanan di Organisasi Usia 5-15 Tahun di Kota Guntur, Andhra Pradesh, India: IJSTR. 2012.</w:t>
      </w:r>
    </w:p>
    <w:p w:rsidR="000C682C" w:rsidRDefault="000C682C" w:rsidP="000C682C">
      <w:pPr>
        <w:jc w:val="both"/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lastRenderedPageBreak/>
        <w:t xml:space="preserve">Effnuz Al-Anba, D. R. (2020). Evaluasi Kebijakan Penanganan Gelandangan. </w:t>
      </w:r>
      <w:r>
        <w:rPr>
          <w:i/>
          <w:lang w:val="en-US"/>
        </w:rPr>
        <w:t>Departemen Administrasi Publik</w:t>
      </w:r>
      <w:r>
        <w:rPr>
          <w:lang w:val="en-US"/>
        </w:rPr>
        <w:t>, Vol 10 no 1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rFonts w:cs="Times New Roman"/>
          <w:sz w:val="28"/>
          <w:lang w:val="en-US"/>
        </w:rPr>
      </w:pPr>
      <w:r>
        <w:rPr>
          <w:rStyle w:val="personname"/>
          <w:rFonts w:cs="Times New Roman"/>
          <w:spacing w:val="6"/>
          <w:sz w:val="22"/>
          <w:szCs w:val="21"/>
          <w:bdr w:val="none" w:sz="0" w:space="0" w:color="auto" w:frame="1"/>
          <w:shd w:val="clear" w:color="auto" w:fill="FFFFFF"/>
        </w:rPr>
        <w:t>Eka Ermerayanti, Ni Putu</w:t>
      </w:r>
      <w:r>
        <w:rPr>
          <w:rFonts w:cs="Times New Roman"/>
          <w:spacing w:val="6"/>
          <w:sz w:val="22"/>
          <w:szCs w:val="21"/>
          <w:shd w:val="clear" w:color="auto" w:fill="FFFFFF"/>
        </w:rPr>
        <w:t> (2018) </w:t>
      </w:r>
      <w:r>
        <w:rPr>
          <w:rStyle w:val="Emphasis"/>
          <w:rFonts w:cs="Times New Roman"/>
          <w:spacing w:val="6"/>
          <w:sz w:val="22"/>
          <w:szCs w:val="21"/>
          <w:bdr w:val="none" w:sz="0" w:space="0" w:color="auto" w:frame="1"/>
          <w:shd w:val="clear" w:color="auto" w:fill="FFFFFF"/>
        </w:rPr>
        <w:t>Gambaran Perilaku Menyikat Gigi Serta Tingkat Kebersihan Gigi Dan Mulut Pada Kader Posyandu Di Wilayah Puskesmas Sukawati I Tahun 2018.</w:t>
      </w:r>
      <w:r>
        <w:rPr>
          <w:rFonts w:cs="Times New Roman"/>
          <w:spacing w:val="6"/>
          <w:sz w:val="22"/>
          <w:szCs w:val="21"/>
          <w:shd w:val="clear" w:color="auto" w:fill="FFFFFF"/>
        </w:rPr>
        <w:t> Diploma Thesis, Politeknik Kesehatan Kemenkes Denpasar.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t>Gopdianto, R. 2015. Status Kebersihan Mulut dan Perilaku Menyikat Gigi Anak SD Negeri 1 Malalayang. Jurnal e-GiGi (eG), 3(1)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Kementerian Kesehatan. </w:t>
      </w:r>
      <w:r>
        <w:rPr>
          <w:i/>
          <w:lang w:val="en-US"/>
        </w:rPr>
        <w:t>Potret sehat Indonesia dari RISKESDAS 2018</w:t>
      </w:r>
      <w:r>
        <w:rPr>
          <w:lang w:val="en-US"/>
        </w:rPr>
        <w:t xml:space="preserve"> [Internet]. Jakarta: Biro Komunikasi dan Pelayanan Masyarakat Kementerian Kesehatan RI; 2 November 2018 [diakses pada 18 Februari 2021]. Terdapatpada: </w:t>
      </w:r>
      <w:hyperlink r:id="rId8" w:history="1">
        <w:r>
          <w:rPr>
            <w:rStyle w:val="Hyperlink"/>
            <w:lang w:val="en-US"/>
          </w:rPr>
          <w:t>https://www.kemkes.go.id/article/view/18110200003/potret-sehat indonesia-dari-riskesdas-2018.html</w:t>
        </w:r>
      </w:hyperlink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Kemenkes, Cara mencegah Penyakit Gigi dan Mulut, 2023 </w:t>
      </w:r>
      <w:hyperlink r:id="rId9" w:history="1">
        <w:r>
          <w:rPr>
            <w:rStyle w:val="Hyperlink"/>
            <w:lang w:val="en-US"/>
          </w:rPr>
          <w:t>https://kesmas.kemkes.go.id/konten/133/0/092709-cara-mencegah-penyakit-gigi-dan-mulut</w:t>
        </w:r>
      </w:hyperlink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</w:pPr>
      <w:r>
        <w:t>Kirchhoff, Julien Filippi and Andreas. 2015. Comparison Of Oral Health Behavior among Dental Students, Students Of Other Disciplines, And Fashion Models In Switzerland. Swiss Dental Journal.</w:t>
      </w:r>
    </w:p>
    <w:p w:rsidR="000C682C" w:rsidRDefault="000C682C" w:rsidP="000C682C">
      <w:pPr>
        <w:ind w:left="630" w:hanging="630"/>
        <w:jc w:val="both"/>
      </w:pPr>
    </w:p>
    <w:p w:rsidR="000C682C" w:rsidRDefault="000C682C" w:rsidP="000C682C">
      <w:pPr>
        <w:ind w:left="630" w:hanging="630"/>
        <w:jc w:val="both"/>
      </w:pPr>
      <w:r>
        <w:t>Krupinska Nanys, M. and Zarzecka, J. 2015. An Assessment of Oral Hygiene in 7-14 Year-Old Children undergoing Orthodontic Treatment. Journal of International oral health : JIOH, 7(1), pp. 6–11.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>LailyFu’adah (2019) Kognitif Sosial Tunawisma di Kota Semarang, Journal of Social ScienceTeaching, Vol. 3 No. 1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t>Marimbun, B.E. 2016. Hubungan Tingkat Pengetahuan Tentang Kesehatan Gigi dan Mulut dengan Status Karies Gigi pada Penyandang Tunanetra. Jurnal E-Gigi (Eg), 4(2), Pp. 0–5.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</w:pPr>
      <w:r>
        <w:t>Maida, D.C. dan Adhani, R. 2017. Hubungan Tingkat Pengetahuan Menyikat Gigi dengan Indeks Gingiva Siswa Madrasah Tsanawiyah. Jurnal Kedokteran Gigi, I(1), pp. 6–10.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Mejia-Lancheros Cilia, (2020), Dental problems and chronic diseases in mentally ill homeless adults: a cross-sectional study, </w:t>
      </w:r>
      <w:r>
        <w:rPr>
          <w:i/>
          <w:lang w:val="en-US"/>
        </w:rPr>
        <w:t>BMC Public Health</w:t>
      </w:r>
      <w:r>
        <w:rPr>
          <w:lang w:val="en-US"/>
        </w:rPr>
        <w:t xml:space="preserve"> 20:419 </w:t>
      </w:r>
      <w:hyperlink r:id="rId10" w:history="1">
        <w:r>
          <w:rPr>
            <w:rStyle w:val="Hyperlink"/>
            <w:lang w:val="en-US"/>
          </w:rPr>
          <w:t>https://doi.org/10.1186/s12889-020-08499-</w:t>
        </w:r>
      </w:hyperlink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ind w:left="630" w:hanging="630"/>
        <w:jc w:val="both"/>
        <w:rPr>
          <w:lang w:val="en-US"/>
        </w:rPr>
      </w:pPr>
      <w:r>
        <w:rPr>
          <w:lang w:val="en-US"/>
        </w:rPr>
        <w:t xml:space="preserve">National Institutes of Health. Taking care of your teeth and mouth. </w:t>
      </w:r>
      <w:r>
        <w:rPr>
          <w:i/>
          <w:lang w:val="en-US"/>
        </w:rPr>
        <w:t>National Institute on Aging</w:t>
      </w:r>
      <w:r>
        <w:rPr>
          <w:lang w:val="en-US"/>
        </w:rPr>
        <w:t>. Updated March 13, 2020.</w:t>
      </w:r>
    </w:p>
    <w:p w:rsidR="000C682C" w:rsidRDefault="000C682C" w:rsidP="000C682C">
      <w:pPr>
        <w:ind w:left="630" w:hanging="630"/>
        <w:jc w:val="both"/>
        <w:rPr>
          <w:lang w:val="en-US"/>
        </w:rPr>
      </w:pPr>
    </w:p>
    <w:p w:rsidR="000C682C" w:rsidRDefault="000C682C" w:rsidP="000C682C">
      <w:pPr>
        <w:sectPr w:rsidR="000C682C">
          <w:pgSz w:w="11906" w:h="16838"/>
          <w:pgMar w:top="1701" w:right="1701" w:bottom="1701" w:left="2268" w:header="709" w:footer="709" w:gutter="0"/>
          <w:cols w:space="720"/>
        </w:sect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lastRenderedPageBreak/>
        <w:t>Nayoan, G. S. J. 2015. Status Kebersihan Gigi dan Mulut pada Nelayan. Jurnal e-GiGi (eG), 3(2).</w:t>
      </w:r>
    </w:p>
    <w:p w:rsidR="000C682C" w:rsidRDefault="000C682C" w:rsidP="000C682C">
      <w:pPr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rStyle w:val="Hyperlink"/>
        </w:rPr>
      </w:pPr>
      <w:r>
        <w:rPr>
          <w:lang w:val="en-US"/>
        </w:rPr>
        <w:t xml:space="preserve">NIH, 2020, Oral Hygiene, </w:t>
      </w:r>
      <w:r>
        <w:t xml:space="preserve">Diakses di </w:t>
      </w:r>
      <w:hyperlink r:id="rId11" w:history="1">
        <w:r>
          <w:rPr>
            <w:rStyle w:val="Hyperlink"/>
            <w:lang w:val="en-US"/>
          </w:rPr>
          <w:t>https://www.nidcr.nih.gov/health-info/oral-hygiene</w:t>
        </w:r>
      </w:hyperlink>
    </w:p>
    <w:p w:rsidR="000C682C" w:rsidRDefault="000C682C" w:rsidP="000C682C">
      <w:pPr>
        <w:ind w:left="1701" w:hanging="630"/>
        <w:jc w:val="both"/>
      </w:pPr>
      <w:bookmarkStart w:id="0" w:name="_GoBack"/>
      <w:bookmarkEnd w:id="0"/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t>Notoatmodjo, S 2012, Metode Penelitian Kesehatan, Rineka Cipta, Jakarta.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Pay, Mery Novaria Pay, Sri Widiati, Niken Widyanti Sriyono, (2016), Identifikasi faktor yang mempengaruhi perilaku anak dalam pemeliharaan kebersihan gigi dan mulut: Studi pada Pusat Pengembangan Anak Agape Sikumana Kota Kupang, Nusa Tenggara Timur, Indonesia, </w:t>
      </w:r>
      <w:r>
        <w:rPr>
          <w:i/>
          <w:lang w:val="en-US"/>
        </w:rPr>
        <w:t xml:space="preserve">Majalah Kedokteran Gigi Indonesia </w:t>
      </w:r>
      <w:r>
        <w:rPr>
          <w:lang w:val="en-US"/>
        </w:rPr>
        <w:t>Vol 2 No 1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Pitts NB, Twetman S, Fisher J, Marsh PD. Understanding dental caries as a non-communicable disease. </w:t>
      </w:r>
      <w:r>
        <w:rPr>
          <w:i/>
          <w:lang w:val="en-US"/>
        </w:rPr>
        <w:t>Br Dent J</w:t>
      </w:r>
      <w:r>
        <w:rPr>
          <w:lang w:val="en-US"/>
        </w:rPr>
        <w:t>. 2021 Dec;231(12):749-753. [PMC free article] [PubMed]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Putri, Megananda Hiranya, dkk. (2013). </w:t>
      </w:r>
      <w:r>
        <w:rPr>
          <w:i/>
          <w:lang w:val="en-US"/>
        </w:rPr>
        <w:t>Ilmu Pencegahan Penyakit Jaringan Keras dan Jaringan Pendukung Gigi.</w:t>
      </w:r>
      <w:r>
        <w:rPr>
          <w:lang w:val="en-US"/>
        </w:rPr>
        <w:t xml:space="preserve"> Jakarta. Buku Kedokteran EGC.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t>Puspita, N, dan Sirat, S 2016, Gambaran OHI-S Dan Perilaku Menyikat Gigi Pada Kelas VI SDN 5 Pekutatan Kecamatan Pekutatan Kabupaten Jembrana Tahun 2016, Jurnal Skala Husada Vol 14 No 1 April 2017: 34-40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</w:pPr>
      <w:r>
        <w:t xml:space="preserve">Sariningsih, E. 2012. </w:t>
      </w:r>
      <w:r>
        <w:rPr>
          <w:i/>
        </w:rPr>
        <w:t>Merawat Gigi Anak Sejak Dini</w:t>
      </w:r>
      <w:r>
        <w:t>. Jakarta: PT Elex Media Komputindo.</w:t>
      </w:r>
    </w:p>
    <w:p w:rsidR="000C682C" w:rsidRDefault="000C682C" w:rsidP="000C682C">
      <w:pPr>
        <w:ind w:left="1701" w:hanging="630"/>
        <w:jc w:val="both"/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Smolyar N, Chukhray N, Lesitskiy M, Rybert Y, Musiy-Sementsiv K. Assessment of oral hygiene maintenance in 12-18-year-old children and teenagers with fixed orthodontic appliances. </w:t>
      </w:r>
      <w:r>
        <w:rPr>
          <w:i/>
          <w:lang w:val="en-US"/>
        </w:rPr>
        <w:t>Stomatologija</w:t>
      </w:r>
      <w:r>
        <w:rPr>
          <w:lang w:val="en-US"/>
        </w:rPr>
        <w:t>. 2023;24(1):21-25. PMID: 36321706.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rFonts w:cs="Times New Roman"/>
          <w:szCs w:val="24"/>
          <w:lang w:val="en-US"/>
        </w:rPr>
      </w:pPr>
      <w:r>
        <w:rPr>
          <w:rFonts w:cs="Times New Roman"/>
          <w:color w:val="222222"/>
          <w:szCs w:val="24"/>
          <w:shd w:val="clear" w:color="auto" w:fill="FFFFFF"/>
        </w:rPr>
        <w:t>Syariatilah, N. S., Mulyanti, S., Insanuddin, I., &amp; Supriyanto, I. (2020). Gambaran Status Kesehatan Gigi dan Mulut Pada Anak Jalanan di Kota Bandung. </w:t>
      </w:r>
      <w:r>
        <w:rPr>
          <w:rFonts w:cs="Times New Roman"/>
          <w:i/>
          <w:iCs/>
          <w:color w:val="222222"/>
          <w:szCs w:val="24"/>
          <w:shd w:val="clear" w:color="auto" w:fill="FFFFFF"/>
        </w:rPr>
        <w:t>Jurnal Kesehatan Siliwangi</w:t>
      </w:r>
      <w:r>
        <w:rPr>
          <w:rFonts w:cs="Times New Roman"/>
          <w:color w:val="222222"/>
          <w:szCs w:val="24"/>
          <w:shd w:val="clear" w:color="auto" w:fill="FFFFFF"/>
        </w:rPr>
        <w:t>, </w:t>
      </w:r>
      <w:r>
        <w:rPr>
          <w:rFonts w:cs="Times New Roman"/>
          <w:i/>
          <w:iCs/>
          <w:color w:val="222222"/>
          <w:szCs w:val="24"/>
          <w:shd w:val="clear" w:color="auto" w:fill="FFFFFF"/>
        </w:rPr>
        <w:t>1</w:t>
      </w:r>
      <w:r>
        <w:rPr>
          <w:rFonts w:cs="Times New Roman"/>
          <w:color w:val="222222"/>
          <w:szCs w:val="24"/>
          <w:shd w:val="clear" w:color="auto" w:fill="FFFFFF"/>
        </w:rPr>
        <w:t>(1), 237-243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Sugiyono, A. (2016). </w:t>
      </w:r>
      <w:r>
        <w:rPr>
          <w:i/>
          <w:lang w:val="en-US"/>
        </w:rPr>
        <w:t xml:space="preserve">Metode Penelitian Kombinasi (Mixed Methods). </w:t>
      </w:r>
      <w:r>
        <w:rPr>
          <w:lang w:val="en-US"/>
        </w:rPr>
        <w:t>Bandung: Alfabeta.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Supriatna, Agus, (2017), Gambaran Tingkat Kebersihan Gigi Dan Mulut Pada Murid Kelas III, IV Dan V Di SDN Rappocini 1 Kota Makassar Tahun 2016, </w:t>
      </w:r>
      <w:r>
        <w:rPr>
          <w:i/>
          <w:lang w:val="en-US"/>
        </w:rPr>
        <w:t>Media Kesehatan Gifi,</w:t>
      </w:r>
      <w:r>
        <w:rPr>
          <w:lang w:val="en-US"/>
        </w:rPr>
        <w:t xml:space="preserve"> Vol 16 No 1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Suratri, M. A., Agus, T., &amp; Jovina, T. (2023). Gambaran Status Kesehatan Gigi &amp; Mulut pada Masyarakat di Provinsi DI Yogyakarta. </w:t>
      </w:r>
      <w:r>
        <w:rPr>
          <w:i/>
          <w:lang w:val="en-US"/>
        </w:rPr>
        <w:t xml:space="preserve">Jurnal Penelitian Dan </w:t>
      </w:r>
      <w:r>
        <w:rPr>
          <w:i/>
          <w:lang w:val="en-US"/>
        </w:rPr>
        <w:lastRenderedPageBreak/>
        <w:t>Pengembangan Pelayanan Kesehatan.</w:t>
      </w:r>
      <w:r>
        <w:rPr>
          <w:lang w:val="en-US"/>
        </w:rPr>
        <w:t xml:space="preserve"> </w:t>
      </w:r>
      <w:hyperlink r:id="rId12" w:history="1">
        <w:r>
          <w:rPr>
            <w:rStyle w:val="Hyperlink"/>
            <w:lang w:val="en-US"/>
          </w:rPr>
          <w:t>https://doi.org/10.22435/jpppk.v0i0.5676</w:t>
        </w:r>
      </w:hyperlink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Tarigan, R. (2015). </w:t>
      </w:r>
      <w:r>
        <w:rPr>
          <w:i/>
          <w:lang w:val="en-US"/>
        </w:rPr>
        <w:t>Karies Gigi. Edisi 2</w:t>
      </w:r>
      <w:r>
        <w:rPr>
          <w:lang w:val="en-US"/>
        </w:rPr>
        <w:t>. EGC: Jakarta.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  <w:rPr>
          <w:lang w:val="en-US"/>
        </w:rPr>
      </w:pPr>
      <w:r>
        <w:rPr>
          <w:lang w:val="en-US"/>
        </w:rPr>
        <w:t xml:space="preserve">Urbaningrum, Nadya Alief (2023), Peran Pemerintah Kota Palu dalam Penanganan Gelandangan dan Pengemis, </w:t>
      </w:r>
      <w:r>
        <w:rPr>
          <w:i/>
          <w:lang w:val="en-US"/>
        </w:rPr>
        <w:t>Jurnal Civic Hukum</w:t>
      </w:r>
      <w:r>
        <w:rPr>
          <w:lang w:val="en-US"/>
        </w:rPr>
        <w:t>, Vol. 7 No. 1 (2023): Mei 2023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</w:pPr>
      <w:r>
        <w:t>Ulliana, Santoso B, Utami U, Nurwanti W, Nurrochman A (2021). Lembar Observasi Tindakan Menggosok Gigi.</w:t>
      </w:r>
    </w:p>
    <w:p w:rsidR="000C682C" w:rsidRDefault="000C682C" w:rsidP="000C682C">
      <w:pPr>
        <w:ind w:left="1701" w:hanging="630"/>
        <w:jc w:val="both"/>
        <w:rPr>
          <w:rFonts w:cs="Times New Roman"/>
          <w:szCs w:val="24"/>
        </w:rPr>
      </w:pPr>
    </w:p>
    <w:p w:rsidR="000C682C" w:rsidRDefault="000C682C" w:rsidP="000C682C">
      <w:pPr>
        <w:ind w:left="1701" w:hanging="630"/>
        <w:jc w:val="both"/>
        <w:rPr>
          <w:rFonts w:cs="Times New Roman"/>
          <w:szCs w:val="24"/>
          <w:lang w:val="en-US"/>
        </w:rPr>
      </w:pPr>
      <w:r>
        <w:rPr>
          <w:rFonts w:cs="Times New Roman"/>
          <w:color w:val="222222"/>
          <w:szCs w:val="24"/>
          <w:shd w:val="clear" w:color="auto" w:fill="FFFFFF"/>
        </w:rPr>
        <w:t>Vikasari, A., Suwandono, A., &amp; Susanto, H. S. (2016). gambaran faktor risiko penyakit periodontal pada anak jalanan dengan eks anak jalanan di kota semarang (studi pada anak jalanan lepas, anak pendampingan rpsa x, dan anak pgotbalai rehabilitasi sosial y kota semarang). </w:t>
      </w:r>
      <w:r>
        <w:rPr>
          <w:rFonts w:cs="Times New Roman"/>
          <w:i/>
          <w:iCs/>
          <w:color w:val="222222"/>
          <w:szCs w:val="24"/>
          <w:shd w:val="clear" w:color="auto" w:fill="FFFFFF"/>
        </w:rPr>
        <w:t>jurnal kesehatan masyarakat (undip)</w:t>
      </w:r>
      <w:r>
        <w:rPr>
          <w:rFonts w:cs="Times New Roman"/>
          <w:color w:val="222222"/>
          <w:szCs w:val="24"/>
          <w:shd w:val="clear" w:color="auto" w:fill="FFFFFF"/>
        </w:rPr>
        <w:t>, </w:t>
      </w:r>
      <w:r>
        <w:rPr>
          <w:rFonts w:cs="Times New Roman"/>
          <w:i/>
          <w:iCs/>
          <w:color w:val="222222"/>
          <w:szCs w:val="24"/>
          <w:shd w:val="clear" w:color="auto" w:fill="FFFFFF"/>
        </w:rPr>
        <w:t>4</w:t>
      </w:r>
      <w:r>
        <w:rPr>
          <w:rFonts w:cs="Times New Roman"/>
          <w:color w:val="222222"/>
          <w:szCs w:val="24"/>
          <w:shd w:val="clear" w:color="auto" w:fill="FFFFFF"/>
        </w:rPr>
        <w:t>(4), 298-304.</w:t>
      </w:r>
    </w:p>
    <w:p w:rsidR="000C682C" w:rsidRDefault="000C682C" w:rsidP="000C682C">
      <w:pPr>
        <w:ind w:left="1701" w:hanging="630"/>
        <w:jc w:val="both"/>
        <w:rPr>
          <w:lang w:val="en-US"/>
        </w:rPr>
      </w:pPr>
    </w:p>
    <w:p w:rsidR="000C682C" w:rsidRDefault="000C682C" w:rsidP="000C682C">
      <w:pPr>
        <w:ind w:left="1701" w:hanging="630"/>
        <w:jc w:val="both"/>
      </w:pPr>
      <w:r>
        <w:rPr>
          <w:lang w:val="en-US"/>
        </w:rPr>
        <w:t xml:space="preserve">Yolanda, Rena Alodia, 2020. Gambaran Status Kebersihan Gigi dan Mulut pada Komunitas Anak Jalanan Tanpa Batas Di Kota X, </w:t>
      </w:r>
      <w:r>
        <w:rPr>
          <w:i/>
          <w:lang w:val="en-US"/>
        </w:rPr>
        <w:t>Jurnal Kesehatan Sili</w:t>
      </w:r>
      <w:r>
        <w:rPr>
          <w:lang w:val="en-US"/>
        </w:rPr>
        <w:t xml:space="preserve"> Vol 01 No 1</w:t>
      </w:r>
      <w:r>
        <w:t>.</w:t>
      </w:r>
    </w:p>
    <w:p w:rsidR="000C682C" w:rsidRDefault="000C682C" w:rsidP="000C682C">
      <w:pPr>
        <w:ind w:left="1701"/>
        <w:jc w:val="both"/>
        <w:rPr>
          <w:lang w:val="en-US"/>
        </w:rPr>
      </w:pPr>
    </w:p>
    <w:p w:rsidR="006B772D" w:rsidRPr="000C682C" w:rsidRDefault="000C682C" w:rsidP="000C682C">
      <w:pPr>
        <w:ind w:left="1701"/>
      </w:pPr>
      <w:r>
        <w:rPr>
          <w:lang w:val="en-US"/>
        </w:rPr>
        <w:t xml:space="preserve">WHO. 2023. </w:t>
      </w:r>
      <w:r>
        <w:rPr>
          <w:i/>
          <w:lang w:val="en-US"/>
        </w:rPr>
        <w:t>Oral Health</w:t>
      </w:r>
      <w:r>
        <w:rPr>
          <w:lang w:val="en-US"/>
        </w:rPr>
        <w:t>.</w:t>
      </w:r>
      <w:r>
        <w:t xml:space="preserve"> Diakses di</w:t>
      </w:r>
      <w:r>
        <w:rPr>
          <w:lang w:val="en-US"/>
        </w:rPr>
        <w:t xml:space="preserve"> </w:t>
      </w:r>
      <w:hyperlink r:id="rId13" w:history="1">
        <w:r>
          <w:rPr>
            <w:rStyle w:val="Hyperlink"/>
            <w:lang w:val="en-US"/>
          </w:rPr>
          <w:t>https://www.who.int/health-topics/oral-health</w:t>
        </w:r>
      </w:hyperlink>
    </w:p>
    <w:sectPr w:rsidR="006B772D" w:rsidRPr="000C6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7DBED9"/>
    <w:multiLevelType w:val="hybridMultilevel"/>
    <w:tmpl w:val="AD8413DA"/>
    <w:lvl w:ilvl="0" w:tplc="DF984E6E">
      <w:start w:val="1"/>
      <w:numFmt w:val="lowerLetter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18170E3"/>
    <w:multiLevelType w:val="hybridMultilevel"/>
    <w:tmpl w:val="B680C670"/>
    <w:lvl w:ilvl="0" w:tplc="2EF6FDC6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92FC79B4">
      <w:start w:val="1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E5323"/>
    <w:multiLevelType w:val="hybridMultilevel"/>
    <w:tmpl w:val="7D6C400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F681A"/>
    <w:multiLevelType w:val="hybridMultilevel"/>
    <w:tmpl w:val="B2142304"/>
    <w:lvl w:ilvl="0" w:tplc="C7EC28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A62746C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D0A9E"/>
    <w:multiLevelType w:val="hybridMultilevel"/>
    <w:tmpl w:val="CB70414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BB411B"/>
    <w:multiLevelType w:val="hybridMultilevel"/>
    <w:tmpl w:val="60921D92"/>
    <w:lvl w:ilvl="0" w:tplc="0421000F">
      <w:start w:val="2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F1D65"/>
    <w:multiLevelType w:val="hybridMultilevel"/>
    <w:tmpl w:val="0E7E3B60"/>
    <w:lvl w:ilvl="0" w:tplc="0421000F">
      <w:start w:val="1"/>
      <w:numFmt w:val="decimal"/>
      <w:lvlText w:val="%1."/>
      <w:lvlJc w:val="left"/>
      <w:pPr>
        <w:ind w:left="107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9775D"/>
    <w:multiLevelType w:val="hybridMultilevel"/>
    <w:tmpl w:val="1BBC6A8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239F7"/>
    <w:multiLevelType w:val="hybridMultilevel"/>
    <w:tmpl w:val="285CBB48"/>
    <w:lvl w:ilvl="0" w:tplc="0421000F">
      <w:start w:val="2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3696F"/>
    <w:multiLevelType w:val="hybridMultilevel"/>
    <w:tmpl w:val="2A7AF1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E7F90"/>
    <w:multiLevelType w:val="hybridMultilevel"/>
    <w:tmpl w:val="71E83A30"/>
    <w:lvl w:ilvl="0" w:tplc="0421000F">
      <w:start w:val="2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4725F"/>
    <w:multiLevelType w:val="hybridMultilevel"/>
    <w:tmpl w:val="BB00616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4410" w:hanging="360"/>
      </w:pPr>
    </w:lvl>
    <w:lvl w:ilvl="2" w:tplc="38441288">
      <w:start w:val="1"/>
      <w:numFmt w:val="decimal"/>
      <w:lvlText w:val="%3)"/>
      <w:lvlJc w:val="left"/>
      <w:pPr>
        <w:ind w:left="2790" w:hanging="360"/>
      </w:pPr>
    </w:lvl>
    <w:lvl w:ilvl="3" w:tplc="BB32FB00">
      <w:start w:val="1"/>
      <w:numFmt w:val="upperLetter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CAE7854"/>
    <w:multiLevelType w:val="hybridMultilevel"/>
    <w:tmpl w:val="9B50B6DA"/>
    <w:lvl w:ilvl="0" w:tplc="3D960790">
      <w:start w:val="1"/>
      <w:numFmt w:val="upperLetter"/>
      <w:lvlText w:val="%1."/>
      <w:lvlJc w:val="left"/>
      <w:pPr>
        <w:ind w:left="357" w:hanging="357"/>
      </w:pPr>
    </w:lvl>
    <w:lvl w:ilvl="1" w:tplc="04210019">
      <w:start w:val="1"/>
      <w:numFmt w:val="lowerLetter"/>
      <w:lvlText w:val="%2."/>
      <w:lvlJc w:val="left"/>
      <w:pPr>
        <w:ind w:left="9000" w:hanging="360"/>
      </w:pPr>
    </w:lvl>
    <w:lvl w:ilvl="2" w:tplc="0421001B">
      <w:start w:val="1"/>
      <w:numFmt w:val="lowerRoman"/>
      <w:lvlText w:val="%3."/>
      <w:lvlJc w:val="right"/>
      <w:pPr>
        <w:ind w:left="9720" w:hanging="180"/>
      </w:pPr>
    </w:lvl>
    <w:lvl w:ilvl="3" w:tplc="0421000F">
      <w:start w:val="1"/>
      <w:numFmt w:val="decimal"/>
      <w:lvlText w:val="%4."/>
      <w:lvlJc w:val="left"/>
      <w:pPr>
        <w:ind w:left="10440" w:hanging="360"/>
      </w:pPr>
    </w:lvl>
    <w:lvl w:ilvl="4" w:tplc="04210019">
      <w:start w:val="1"/>
      <w:numFmt w:val="lowerLetter"/>
      <w:lvlText w:val="%5."/>
      <w:lvlJc w:val="left"/>
      <w:pPr>
        <w:ind w:left="11160" w:hanging="360"/>
      </w:pPr>
    </w:lvl>
    <w:lvl w:ilvl="5" w:tplc="0421001B">
      <w:start w:val="1"/>
      <w:numFmt w:val="lowerRoman"/>
      <w:lvlText w:val="%6."/>
      <w:lvlJc w:val="right"/>
      <w:pPr>
        <w:ind w:left="11880" w:hanging="180"/>
      </w:pPr>
    </w:lvl>
    <w:lvl w:ilvl="6" w:tplc="0421000F">
      <w:start w:val="1"/>
      <w:numFmt w:val="decimal"/>
      <w:lvlText w:val="%7."/>
      <w:lvlJc w:val="left"/>
      <w:pPr>
        <w:ind w:left="12600" w:hanging="360"/>
      </w:pPr>
    </w:lvl>
    <w:lvl w:ilvl="7" w:tplc="04210019">
      <w:start w:val="1"/>
      <w:numFmt w:val="lowerLetter"/>
      <w:lvlText w:val="%8."/>
      <w:lvlJc w:val="left"/>
      <w:pPr>
        <w:ind w:left="13320" w:hanging="360"/>
      </w:pPr>
    </w:lvl>
    <w:lvl w:ilvl="8" w:tplc="0421001B">
      <w:start w:val="1"/>
      <w:numFmt w:val="lowerRoman"/>
      <w:lvlText w:val="%9."/>
      <w:lvlJc w:val="right"/>
      <w:pPr>
        <w:ind w:left="14040" w:hanging="180"/>
      </w:pPr>
    </w:lvl>
  </w:abstractNum>
  <w:abstractNum w:abstractNumId="13">
    <w:nsid w:val="1E014913"/>
    <w:multiLevelType w:val="hybridMultilevel"/>
    <w:tmpl w:val="111EFE40"/>
    <w:lvl w:ilvl="0" w:tplc="F1E2F476">
      <w:start w:val="1"/>
      <w:numFmt w:val="decimal"/>
      <w:lvlText w:val="%1."/>
      <w:lvlJc w:val="left"/>
      <w:pPr>
        <w:ind w:left="1069" w:hanging="360"/>
      </w:pPr>
    </w:lvl>
    <w:lvl w:ilvl="1" w:tplc="04210019">
      <w:start w:val="1"/>
      <w:numFmt w:val="lowerLetter"/>
      <w:lvlText w:val="%2."/>
      <w:lvlJc w:val="left"/>
      <w:pPr>
        <w:ind w:left="1789" w:hanging="360"/>
      </w:pPr>
    </w:lvl>
    <w:lvl w:ilvl="2" w:tplc="0421001B">
      <w:start w:val="1"/>
      <w:numFmt w:val="lowerRoman"/>
      <w:lvlText w:val="%3."/>
      <w:lvlJc w:val="right"/>
      <w:pPr>
        <w:ind w:left="2509" w:hanging="180"/>
      </w:pPr>
    </w:lvl>
    <w:lvl w:ilvl="3" w:tplc="0421000F">
      <w:start w:val="1"/>
      <w:numFmt w:val="decimal"/>
      <w:lvlText w:val="%4."/>
      <w:lvlJc w:val="left"/>
      <w:pPr>
        <w:ind w:left="3229" w:hanging="360"/>
      </w:pPr>
    </w:lvl>
    <w:lvl w:ilvl="4" w:tplc="04210019">
      <w:start w:val="1"/>
      <w:numFmt w:val="lowerLetter"/>
      <w:lvlText w:val="%5."/>
      <w:lvlJc w:val="left"/>
      <w:pPr>
        <w:ind w:left="3949" w:hanging="360"/>
      </w:pPr>
    </w:lvl>
    <w:lvl w:ilvl="5" w:tplc="0421001B">
      <w:start w:val="1"/>
      <w:numFmt w:val="lowerRoman"/>
      <w:lvlText w:val="%6."/>
      <w:lvlJc w:val="right"/>
      <w:pPr>
        <w:ind w:left="4669" w:hanging="180"/>
      </w:pPr>
    </w:lvl>
    <w:lvl w:ilvl="6" w:tplc="0421000F">
      <w:start w:val="1"/>
      <w:numFmt w:val="decimal"/>
      <w:lvlText w:val="%7."/>
      <w:lvlJc w:val="left"/>
      <w:pPr>
        <w:ind w:left="5389" w:hanging="360"/>
      </w:pPr>
    </w:lvl>
    <w:lvl w:ilvl="7" w:tplc="04210019">
      <w:start w:val="1"/>
      <w:numFmt w:val="lowerLetter"/>
      <w:lvlText w:val="%8."/>
      <w:lvlJc w:val="left"/>
      <w:pPr>
        <w:ind w:left="6109" w:hanging="360"/>
      </w:pPr>
    </w:lvl>
    <w:lvl w:ilvl="8" w:tplc="0421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0907001"/>
    <w:multiLevelType w:val="hybridMultilevel"/>
    <w:tmpl w:val="ABECEA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07723"/>
    <w:multiLevelType w:val="hybridMultilevel"/>
    <w:tmpl w:val="72269E54"/>
    <w:lvl w:ilvl="0" w:tplc="04090011">
      <w:start w:val="1"/>
      <w:numFmt w:val="decimal"/>
      <w:lvlText w:val="%1)"/>
      <w:lvlJc w:val="left"/>
      <w:pPr>
        <w:ind w:left="1495" w:hanging="360"/>
      </w:p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287E1B22"/>
    <w:multiLevelType w:val="hybridMultilevel"/>
    <w:tmpl w:val="290C1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162F"/>
    <w:multiLevelType w:val="hybridMultilevel"/>
    <w:tmpl w:val="15A26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60771"/>
    <w:multiLevelType w:val="hybridMultilevel"/>
    <w:tmpl w:val="6696F7C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34474394"/>
    <w:multiLevelType w:val="hybridMultilevel"/>
    <w:tmpl w:val="A3F434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C241CD"/>
    <w:multiLevelType w:val="hybridMultilevel"/>
    <w:tmpl w:val="BC7C7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33D8E"/>
    <w:multiLevelType w:val="hybridMultilevel"/>
    <w:tmpl w:val="835E54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5B6B5C"/>
    <w:multiLevelType w:val="hybridMultilevel"/>
    <w:tmpl w:val="EFC611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606C5"/>
    <w:multiLevelType w:val="hybridMultilevel"/>
    <w:tmpl w:val="97D685BC"/>
    <w:lvl w:ilvl="0" w:tplc="F3524BA0">
      <w:start w:val="2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4D30F0"/>
    <w:multiLevelType w:val="hybridMultilevel"/>
    <w:tmpl w:val="5C4C40C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7C2761"/>
    <w:multiLevelType w:val="hybridMultilevel"/>
    <w:tmpl w:val="C928B5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C25EC9"/>
    <w:multiLevelType w:val="hybridMultilevel"/>
    <w:tmpl w:val="15A263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415348"/>
    <w:multiLevelType w:val="hybridMultilevel"/>
    <w:tmpl w:val="70CE008A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28">
    <w:nsid w:val="4AE915FE"/>
    <w:multiLevelType w:val="hybridMultilevel"/>
    <w:tmpl w:val="CD1EA226"/>
    <w:lvl w:ilvl="0" w:tplc="0421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3D1A50"/>
    <w:multiLevelType w:val="hybridMultilevel"/>
    <w:tmpl w:val="A90C9E68"/>
    <w:lvl w:ilvl="0" w:tplc="7DFCC2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9918CC9A">
      <w:start w:val="1"/>
      <w:numFmt w:val="upperLetter"/>
      <w:lvlText w:val="%3."/>
      <w:lvlJc w:val="left"/>
      <w:pPr>
        <w:ind w:left="928" w:hanging="36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B349C"/>
    <w:multiLevelType w:val="hybridMultilevel"/>
    <w:tmpl w:val="109698BC"/>
    <w:lvl w:ilvl="0" w:tplc="04210011">
      <w:start w:val="1"/>
      <w:numFmt w:val="decimal"/>
      <w:lvlText w:val="%1)"/>
      <w:lvlJc w:val="left"/>
      <w:pPr>
        <w:ind w:left="1437" w:hanging="360"/>
      </w:pPr>
    </w:lvl>
    <w:lvl w:ilvl="1" w:tplc="04210019">
      <w:start w:val="1"/>
      <w:numFmt w:val="lowerLetter"/>
      <w:lvlText w:val="%2."/>
      <w:lvlJc w:val="left"/>
      <w:pPr>
        <w:ind w:left="2157" w:hanging="360"/>
      </w:pPr>
    </w:lvl>
    <w:lvl w:ilvl="2" w:tplc="0421001B">
      <w:start w:val="1"/>
      <w:numFmt w:val="lowerRoman"/>
      <w:lvlText w:val="%3."/>
      <w:lvlJc w:val="right"/>
      <w:pPr>
        <w:ind w:left="2877" w:hanging="180"/>
      </w:pPr>
    </w:lvl>
    <w:lvl w:ilvl="3" w:tplc="0421000F">
      <w:start w:val="1"/>
      <w:numFmt w:val="decimal"/>
      <w:lvlText w:val="%4."/>
      <w:lvlJc w:val="left"/>
      <w:pPr>
        <w:ind w:left="3597" w:hanging="360"/>
      </w:pPr>
    </w:lvl>
    <w:lvl w:ilvl="4" w:tplc="04210019">
      <w:start w:val="1"/>
      <w:numFmt w:val="lowerLetter"/>
      <w:lvlText w:val="%5."/>
      <w:lvlJc w:val="left"/>
      <w:pPr>
        <w:ind w:left="4317" w:hanging="360"/>
      </w:pPr>
    </w:lvl>
    <w:lvl w:ilvl="5" w:tplc="0421001B">
      <w:start w:val="1"/>
      <w:numFmt w:val="lowerRoman"/>
      <w:lvlText w:val="%6."/>
      <w:lvlJc w:val="right"/>
      <w:pPr>
        <w:ind w:left="5037" w:hanging="180"/>
      </w:pPr>
    </w:lvl>
    <w:lvl w:ilvl="6" w:tplc="0421000F">
      <w:start w:val="1"/>
      <w:numFmt w:val="decimal"/>
      <w:lvlText w:val="%7."/>
      <w:lvlJc w:val="left"/>
      <w:pPr>
        <w:ind w:left="5757" w:hanging="360"/>
      </w:pPr>
    </w:lvl>
    <w:lvl w:ilvl="7" w:tplc="04210019">
      <w:start w:val="1"/>
      <w:numFmt w:val="lowerLetter"/>
      <w:lvlText w:val="%8."/>
      <w:lvlJc w:val="left"/>
      <w:pPr>
        <w:ind w:left="6477" w:hanging="360"/>
      </w:pPr>
    </w:lvl>
    <w:lvl w:ilvl="8" w:tplc="0421001B">
      <w:start w:val="1"/>
      <w:numFmt w:val="lowerRoman"/>
      <w:lvlText w:val="%9."/>
      <w:lvlJc w:val="right"/>
      <w:pPr>
        <w:ind w:left="7197" w:hanging="180"/>
      </w:pPr>
    </w:lvl>
  </w:abstractNum>
  <w:abstractNum w:abstractNumId="31">
    <w:nsid w:val="52332EC1"/>
    <w:multiLevelType w:val="hybridMultilevel"/>
    <w:tmpl w:val="F06601CE"/>
    <w:lvl w:ilvl="0" w:tplc="031461B6">
      <w:start w:val="1"/>
      <w:numFmt w:val="lowerLetter"/>
      <w:lvlText w:val="%1."/>
      <w:lvlJc w:val="left"/>
      <w:pPr>
        <w:tabs>
          <w:tab w:val="num" w:pos="1071"/>
        </w:tabs>
        <w:ind w:left="1071" w:hanging="357"/>
      </w:pPr>
    </w:lvl>
    <w:lvl w:ilvl="1" w:tplc="04210019">
      <w:start w:val="1"/>
      <w:numFmt w:val="lowerLetter"/>
      <w:lvlText w:val="%2."/>
      <w:lvlJc w:val="left"/>
      <w:pPr>
        <w:ind w:left="-898" w:hanging="360"/>
      </w:pPr>
    </w:lvl>
    <w:lvl w:ilvl="2" w:tplc="0421001B">
      <w:start w:val="1"/>
      <w:numFmt w:val="lowerRoman"/>
      <w:lvlText w:val="%3."/>
      <w:lvlJc w:val="right"/>
      <w:pPr>
        <w:ind w:left="-178" w:hanging="180"/>
      </w:pPr>
    </w:lvl>
    <w:lvl w:ilvl="3" w:tplc="0421000F">
      <w:start w:val="1"/>
      <w:numFmt w:val="decimal"/>
      <w:lvlText w:val="%4."/>
      <w:lvlJc w:val="left"/>
      <w:pPr>
        <w:ind w:left="542" w:hanging="360"/>
      </w:pPr>
    </w:lvl>
    <w:lvl w:ilvl="4" w:tplc="04210019">
      <w:start w:val="1"/>
      <w:numFmt w:val="lowerLetter"/>
      <w:lvlText w:val="%5."/>
      <w:lvlJc w:val="left"/>
      <w:pPr>
        <w:ind w:left="1262" w:hanging="360"/>
      </w:pPr>
    </w:lvl>
    <w:lvl w:ilvl="5" w:tplc="0421001B">
      <w:start w:val="1"/>
      <w:numFmt w:val="lowerRoman"/>
      <w:lvlText w:val="%6."/>
      <w:lvlJc w:val="right"/>
      <w:pPr>
        <w:ind w:left="1982" w:hanging="180"/>
      </w:pPr>
    </w:lvl>
    <w:lvl w:ilvl="6" w:tplc="0421000F">
      <w:start w:val="1"/>
      <w:numFmt w:val="decimal"/>
      <w:lvlText w:val="%7."/>
      <w:lvlJc w:val="left"/>
      <w:pPr>
        <w:ind w:left="2702" w:hanging="360"/>
      </w:pPr>
    </w:lvl>
    <w:lvl w:ilvl="7" w:tplc="04210019">
      <w:start w:val="1"/>
      <w:numFmt w:val="lowerLetter"/>
      <w:lvlText w:val="%8."/>
      <w:lvlJc w:val="left"/>
      <w:pPr>
        <w:ind w:left="3422" w:hanging="360"/>
      </w:pPr>
    </w:lvl>
    <w:lvl w:ilvl="8" w:tplc="0421001B">
      <w:start w:val="1"/>
      <w:numFmt w:val="lowerRoman"/>
      <w:lvlText w:val="%9."/>
      <w:lvlJc w:val="right"/>
      <w:pPr>
        <w:ind w:left="4142" w:hanging="180"/>
      </w:pPr>
    </w:lvl>
  </w:abstractNum>
  <w:abstractNum w:abstractNumId="32">
    <w:nsid w:val="52695776"/>
    <w:multiLevelType w:val="hybridMultilevel"/>
    <w:tmpl w:val="1BBC6A80"/>
    <w:lvl w:ilvl="0" w:tplc="04210019">
      <w:start w:val="1"/>
      <w:numFmt w:val="lowerLetter"/>
      <w:lvlText w:val="%1."/>
      <w:lvlJc w:val="left"/>
      <w:pPr>
        <w:ind w:left="1069" w:hanging="360"/>
      </w:pPr>
    </w:lvl>
    <w:lvl w:ilvl="1" w:tplc="04210019">
      <w:start w:val="1"/>
      <w:numFmt w:val="lowerLetter"/>
      <w:lvlText w:val="%2."/>
      <w:lvlJc w:val="left"/>
      <w:pPr>
        <w:ind w:left="1789" w:hanging="360"/>
      </w:pPr>
    </w:lvl>
    <w:lvl w:ilvl="2" w:tplc="0421001B">
      <w:start w:val="1"/>
      <w:numFmt w:val="lowerRoman"/>
      <w:lvlText w:val="%3."/>
      <w:lvlJc w:val="right"/>
      <w:pPr>
        <w:ind w:left="2509" w:hanging="180"/>
      </w:pPr>
    </w:lvl>
    <w:lvl w:ilvl="3" w:tplc="0421000F">
      <w:start w:val="1"/>
      <w:numFmt w:val="decimal"/>
      <w:lvlText w:val="%4."/>
      <w:lvlJc w:val="left"/>
      <w:pPr>
        <w:ind w:left="3229" w:hanging="360"/>
      </w:pPr>
    </w:lvl>
    <w:lvl w:ilvl="4" w:tplc="04210019">
      <w:start w:val="1"/>
      <w:numFmt w:val="lowerLetter"/>
      <w:lvlText w:val="%5."/>
      <w:lvlJc w:val="left"/>
      <w:pPr>
        <w:ind w:left="3949" w:hanging="360"/>
      </w:pPr>
    </w:lvl>
    <w:lvl w:ilvl="5" w:tplc="0421001B">
      <w:start w:val="1"/>
      <w:numFmt w:val="lowerRoman"/>
      <w:lvlText w:val="%6."/>
      <w:lvlJc w:val="right"/>
      <w:pPr>
        <w:ind w:left="4669" w:hanging="180"/>
      </w:pPr>
    </w:lvl>
    <w:lvl w:ilvl="6" w:tplc="0421000F">
      <w:start w:val="1"/>
      <w:numFmt w:val="decimal"/>
      <w:lvlText w:val="%7."/>
      <w:lvlJc w:val="left"/>
      <w:pPr>
        <w:ind w:left="5389" w:hanging="360"/>
      </w:pPr>
    </w:lvl>
    <w:lvl w:ilvl="7" w:tplc="04210019">
      <w:start w:val="1"/>
      <w:numFmt w:val="lowerLetter"/>
      <w:lvlText w:val="%8."/>
      <w:lvlJc w:val="left"/>
      <w:pPr>
        <w:ind w:left="6109" w:hanging="360"/>
      </w:pPr>
    </w:lvl>
    <w:lvl w:ilvl="8" w:tplc="0421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270202"/>
    <w:multiLevelType w:val="hybridMultilevel"/>
    <w:tmpl w:val="5C34C0E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DE73AB7"/>
    <w:multiLevelType w:val="hybridMultilevel"/>
    <w:tmpl w:val="6D2C8AE8"/>
    <w:lvl w:ilvl="0" w:tplc="585663DC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CE26C8"/>
    <w:multiLevelType w:val="hybridMultilevel"/>
    <w:tmpl w:val="CB70414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7BB2BD2"/>
    <w:multiLevelType w:val="hybridMultilevel"/>
    <w:tmpl w:val="682E15CC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E340400"/>
    <w:multiLevelType w:val="hybridMultilevel"/>
    <w:tmpl w:val="3A9E39C0"/>
    <w:lvl w:ilvl="0" w:tplc="04210019">
      <w:start w:val="1"/>
      <w:numFmt w:val="low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8BF11FE"/>
    <w:multiLevelType w:val="hybridMultilevel"/>
    <w:tmpl w:val="DC8474B0"/>
    <w:lvl w:ilvl="0" w:tplc="BB32FB00">
      <w:start w:val="1"/>
      <w:numFmt w:val="upperLetter"/>
      <w:lvlText w:val="%1."/>
      <w:lvlJc w:val="left"/>
      <w:pPr>
        <w:ind w:left="33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C6319"/>
    <w:multiLevelType w:val="hybridMultilevel"/>
    <w:tmpl w:val="EE7EFB4A"/>
    <w:lvl w:ilvl="0" w:tplc="986296BA">
      <w:start w:val="1"/>
      <w:numFmt w:val="upperLetter"/>
      <w:lvlText w:val="%1."/>
      <w:lvlJc w:val="left"/>
      <w:pPr>
        <w:ind w:left="717" w:hanging="360"/>
      </w:pPr>
    </w:lvl>
    <w:lvl w:ilvl="1" w:tplc="04210019">
      <w:start w:val="1"/>
      <w:numFmt w:val="lowerLetter"/>
      <w:lvlText w:val="%2."/>
      <w:lvlJc w:val="left"/>
      <w:pPr>
        <w:ind w:left="1437" w:hanging="360"/>
      </w:pPr>
    </w:lvl>
    <w:lvl w:ilvl="2" w:tplc="0421001B">
      <w:start w:val="1"/>
      <w:numFmt w:val="lowerRoman"/>
      <w:lvlText w:val="%3."/>
      <w:lvlJc w:val="right"/>
      <w:pPr>
        <w:ind w:left="2157" w:hanging="180"/>
      </w:pPr>
    </w:lvl>
    <w:lvl w:ilvl="3" w:tplc="0421000F">
      <w:start w:val="1"/>
      <w:numFmt w:val="decimal"/>
      <w:lvlText w:val="%4."/>
      <w:lvlJc w:val="left"/>
      <w:pPr>
        <w:ind w:left="2877" w:hanging="360"/>
      </w:pPr>
    </w:lvl>
    <w:lvl w:ilvl="4" w:tplc="04210019">
      <w:start w:val="1"/>
      <w:numFmt w:val="lowerLetter"/>
      <w:lvlText w:val="%5."/>
      <w:lvlJc w:val="left"/>
      <w:pPr>
        <w:ind w:left="3597" w:hanging="360"/>
      </w:pPr>
    </w:lvl>
    <w:lvl w:ilvl="5" w:tplc="0421001B">
      <w:start w:val="1"/>
      <w:numFmt w:val="lowerRoman"/>
      <w:lvlText w:val="%6."/>
      <w:lvlJc w:val="right"/>
      <w:pPr>
        <w:ind w:left="4317" w:hanging="180"/>
      </w:pPr>
    </w:lvl>
    <w:lvl w:ilvl="6" w:tplc="0421000F">
      <w:start w:val="1"/>
      <w:numFmt w:val="decimal"/>
      <w:lvlText w:val="%7."/>
      <w:lvlJc w:val="left"/>
      <w:pPr>
        <w:ind w:left="5037" w:hanging="360"/>
      </w:pPr>
    </w:lvl>
    <w:lvl w:ilvl="7" w:tplc="04210019">
      <w:start w:val="1"/>
      <w:numFmt w:val="lowerLetter"/>
      <w:lvlText w:val="%8."/>
      <w:lvlJc w:val="left"/>
      <w:pPr>
        <w:ind w:left="5757" w:hanging="360"/>
      </w:pPr>
    </w:lvl>
    <w:lvl w:ilvl="8" w:tplc="0421001B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38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A73"/>
    <w:rsid w:val="0005335D"/>
    <w:rsid w:val="000C682C"/>
    <w:rsid w:val="001C5AE8"/>
    <w:rsid w:val="0025703F"/>
    <w:rsid w:val="006B625B"/>
    <w:rsid w:val="00AF0DCD"/>
    <w:rsid w:val="00B90560"/>
    <w:rsid w:val="00BB34E0"/>
    <w:rsid w:val="00EB3FED"/>
    <w:rsid w:val="00F67220"/>
    <w:rsid w:val="00F7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Straight Arrow Connector 16"/>
        <o:r id="V:Rule2" type="connector" idref="#Straight Arrow Connector 38"/>
        <o:r id="V:Rule3" type="connector" idref="#Straight Arrow Connector 17"/>
        <o:r id="V:Rule4" type="connector" idref="#Straight Connector 27"/>
        <o:r id="V:Rule5" type="connector" idref="#Straight Connector 25"/>
        <o:r id="V:Rule6" type="connector" idref="#Straight Arrow Connector 39"/>
        <o:r id="V:Rule7" type="connector" idref="#Straight Connector 18"/>
        <o:r id="V:Rule8" type="connector" idref="#Straight Connector 14"/>
        <o:r id="V:Rule9" type="connector" idref="#Straight Connector 30"/>
        <o:r id="V:Rule10" type="connector" idref="#Straight Connector 34"/>
        <o:r id="V:Rule11" type="connector" idref="#Straight Connector 62"/>
        <o:r id="V:Rule12" type="connector" idref="#Straight Arrow Connector 1"/>
        <o:r id="V:Rule13" type="connector" idref="#Straight Arrow Connector 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A73"/>
    <w:pPr>
      <w:spacing w:after="0" w:line="240" w:lineRule="auto"/>
    </w:pPr>
    <w:rPr>
      <w:rFonts w:ascii="Times New Roman" w:hAnsi="Times New Roman"/>
      <w:noProof/>
      <w:sz w:val="24"/>
      <w:lang w:val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5A73"/>
    <w:pPr>
      <w:keepNext/>
      <w:keepLines/>
      <w:spacing w:line="480" w:lineRule="auto"/>
      <w:contextualSpacing/>
      <w:jc w:val="center"/>
      <w:outlineLvl w:val="0"/>
    </w:pPr>
    <w:rPr>
      <w:rFonts w:eastAsiaTheme="majorEastAsia" w:cstheme="majorBidi"/>
      <w:b/>
      <w:color w:val="000000" w:themeColor="text1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F75A73"/>
    <w:pPr>
      <w:keepNext/>
      <w:keepLines/>
      <w:tabs>
        <w:tab w:val="left" w:pos="1440"/>
      </w:tabs>
      <w:spacing w:line="480" w:lineRule="auto"/>
      <w:ind w:left="851" w:firstLine="992"/>
      <w:jc w:val="both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F75A73"/>
    <w:pPr>
      <w:keepNext/>
      <w:keepLines/>
      <w:tabs>
        <w:tab w:val="left" w:pos="900"/>
      </w:tabs>
      <w:spacing w:line="480" w:lineRule="auto"/>
      <w:ind w:left="426"/>
      <w:jc w:val="both"/>
      <w:outlineLvl w:val="2"/>
    </w:pPr>
    <w:rPr>
      <w:rFonts w:eastAsiaTheme="majorEastAsia" w:cstheme="majorBidi"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A73"/>
    <w:rPr>
      <w:rFonts w:ascii="Times New Roman" w:eastAsiaTheme="majorEastAsia" w:hAnsi="Times New Roman" w:cstheme="majorBidi"/>
      <w:b/>
      <w:noProof/>
      <w:color w:val="000000" w:themeColor="text1"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A73"/>
    <w:rPr>
      <w:rFonts w:ascii="Times New Roman" w:eastAsiaTheme="majorEastAsia" w:hAnsi="Times New Roman" w:cstheme="majorBidi"/>
      <w:b/>
      <w:noProof/>
      <w:color w:val="000000" w:themeColor="text1"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A73"/>
    <w:rPr>
      <w:rFonts w:ascii="Times New Roman" w:eastAsiaTheme="majorEastAsia" w:hAnsi="Times New Roman" w:cstheme="majorBidi"/>
      <w:bCs/>
      <w:noProof/>
      <w:color w:val="000000" w:themeColor="text1"/>
      <w:sz w:val="24"/>
      <w:szCs w:val="24"/>
      <w:lang w:val="id-I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5A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Body of text Char,Heading 10 Char,List Paragraph1 Char,Colorful List - Accent 11 Char,Dot pt Char,F5 List Paragraph Char,List Paragraph Char Char Char Char,Indicator Text Char,Numbered Para 1 Char,Bullet 1 Char,List Paragraph12 Char"/>
    <w:link w:val="ListParagraph"/>
    <w:uiPriority w:val="34"/>
    <w:locked/>
    <w:rsid w:val="00F75A73"/>
    <w:rPr>
      <w:noProof/>
    </w:rPr>
  </w:style>
  <w:style w:type="paragraph" w:styleId="ListParagraph">
    <w:name w:val="List Paragraph"/>
    <w:aliases w:val="Body of text,Heading 10,List Paragraph1,Colorful List - Accent 11,Dot pt,F5 List Paragraph,List Paragraph Char Char Char,Indicator Text,Numbered Para 1,Bullet 1,List Paragraph12,Bullet Points,MAIN CONTENT,Normal ind,Tabel,point-point,arab"/>
    <w:basedOn w:val="Normal"/>
    <w:link w:val="ListParagraphChar"/>
    <w:uiPriority w:val="34"/>
    <w:qFormat/>
    <w:rsid w:val="00F75A73"/>
    <w:pPr>
      <w:ind w:left="720"/>
      <w:contextualSpacing/>
    </w:pPr>
    <w:rPr>
      <w:rFonts w:asciiTheme="minorHAnsi" w:hAnsiTheme="minorHAnsi"/>
      <w:sz w:val="22"/>
      <w:lang w:val="en-US"/>
    </w:rPr>
  </w:style>
  <w:style w:type="table" w:styleId="TableGrid">
    <w:name w:val="Table Grid"/>
    <w:basedOn w:val="TableNormal"/>
    <w:uiPriority w:val="39"/>
    <w:rsid w:val="00F75A73"/>
    <w:pPr>
      <w:spacing w:after="0" w:line="240" w:lineRule="auto"/>
    </w:pPr>
    <w:rPr>
      <w:rFonts w:ascii="Times New Roman" w:hAnsi="Times New Roman"/>
      <w:sz w:val="24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7220"/>
    <w:pPr>
      <w:spacing w:before="100" w:beforeAutospacing="1" w:after="100" w:afterAutospacing="1"/>
    </w:pPr>
    <w:rPr>
      <w:rFonts w:eastAsiaTheme="minorEastAsia" w:cs="Times New Roman"/>
      <w:noProof w:val="0"/>
      <w:szCs w:val="24"/>
      <w:lang w:eastAsia="id-ID"/>
    </w:rPr>
  </w:style>
  <w:style w:type="paragraph" w:customStyle="1" w:styleId="Default">
    <w:name w:val="Default"/>
    <w:uiPriority w:val="99"/>
    <w:semiHidden/>
    <w:rsid w:val="00F672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d-ID"/>
    </w:rPr>
  </w:style>
  <w:style w:type="character" w:customStyle="1" w:styleId="personname">
    <w:name w:val="person_name"/>
    <w:basedOn w:val="DefaultParagraphFont"/>
    <w:rsid w:val="00F67220"/>
  </w:style>
  <w:style w:type="paragraph" w:styleId="BalloonText">
    <w:name w:val="Balloon Text"/>
    <w:basedOn w:val="Normal"/>
    <w:link w:val="BalloonTextChar"/>
    <w:uiPriority w:val="99"/>
    <w:semiHidden/>
    <w:unhideWhenUsed/>
    <w:rsid w:val="00F67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20"/>
    <w:rPr>
      <w:rFonts w:ascii="Tahoma" w:hAnsi="Tahoma" w:cs="Tahoma"/>
      <w:noProof/>
      <w:sz w:val="16"/>
      <w:szCs w:val="16"/>
      <w:lang w:val="id-ID"/>
    </w:rPr>
  </w:style>
  <w:style w:type="paragraph" w:styleId="NoSpacing">
    <w:name w:val="No Spacing"/>
    <w:uiPriority w:val="1"/>
    <w:qFormat/>
    <w:rsid w:val="001C5AE8"/>
    <w:pPr>
      <w:spacing w:after="0" w:line="240" w:lineRule="auto"/>
    </w:pPr>
    <w:rPr>
      <w:rFonts w:ascii="Times New Roman" w:hAnsi="Times New Roman"/>
      <w:noProof/>
      <w:sz w:val="24"/>
      <w:lang w:val="id-ID"/>
    </w:rPr>
  </w:style>
  <w:style w:type="table" w:customStyle="1" w:styleId="TableGrid11">
    <w:name w:val="Table Grid11"/>
    <w:basedOn w:val="TableNormal"/>
    <w:uiPriority w:val="39"/>
    <w:rsid w:val="001C5AE8"/>
    <w:pPr>
      <w:spacing w:after="0" w:line="240" w:lineRule="auto"/>
    </w:pPr>
    <w:rPr>
      <w:rFonts w:ascii="Calibri" w:eastAsia="Calibri" w:hAnsi="Calibri" w:cs="Times New Roman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5703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C682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C68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A73"/>
    <w:pPr>
      <w:spacing w:after="0" w:line="240" w:lineRule="auto"/>
    </w:pPr>
    <w:rPr>
      <w:rFonts w:ascii="Times New Roman" w:hAnsi="Times New Roman"/>
      <w:noProof/>
      <w:sz w:val="24"/>
      <w:lang w:val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5A73"/>
    <w:pPr>
      <w:keepNext/>
      <w:keepLines/>
      <w:spacing w:line="480" w:lineRule="auto"/>
      <w:contextualSpacing/>
      <w:jc w:val="center"/>
      <w:outlineLvl w:val="0"/>
    </w:pPr>
    <w:rPr>
      <w:rFonts w:eastAsiaTheme="majorEastAsia" w:cstheme="majorBidi"/>
      <w:b/>
      <w:color w:val="000000" w:themeColor="text1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F75A73"/>
    <w:pPr>
      <w:keepNext/>
      <w:keepLines/>
      <w:tabs>
        <w:tab w:val="left" w:pos="1440"/>
      </w:tabs>
      <w:spacing w:line="480" w:lineRule="auto"/>
      <w:ind w:left="851" w:firstLine="992"/>
      <w:jc w:val="both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F75A73"/>
    <w:pPr>
      <w:keepNext/>
      <w:keepLines/>
      <w:tabs>
        <w:tab w:val="left" w:pos="900"/>
      </w:tabs>
      <w:spacing w:line="480" w:lineRule="auto"/>
      <w:ind w:left="426"/>
      <w:jc w:val="both"/>
      <w:outlineLvl w:val="2"/>
    </w:pPr>
    <w:rPr>
      <w:rFonts w:eastAsiaTheme="majorEastAsia" w:cstheme="majorBidi"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A73"/>
    <w:rPr>
      <w:rFonts w:ascii="Times New Roman" w:eastAsiaTheme="majorEastAsia" w:hAnsi="Times New Roman" w:cstheme="majorBidi"/>
      <w:b/>
      <w:noProof/>
      <w:color w:val="000000" w:themeColor="text1"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A73"/>
    <w:rPr>
      <w:rFonts w:ascii="Times New Roman" w:eastAsiaTheme="majorEastAsia" w:hAnsi="Times New Roman" w:cstheme="majorBidi"/>
      <w:b/>
      <w:noProof/>
      <w:color w:val="000000" w:themeColor="text1"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A73"/>
    <w:rPr>
      <w:rFonts w:ascii="Times New Roman" w:eastAsiaTheme="majorEastAsia" w:hAnsi="Times New Roman" w:cstheme="majorBidi"/>
      <w:bCs/>
      <w:noProof/>
      <w:color w:val="000000" w:themeColor="text1"/>
      <w:sz w:val="24"/>
      <w:szCs w:val="24"/>
      <w:lang w:val="id-I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5A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Body of text Char,Heading 10 Char,List Paragraph1 Char,Colorful List - Accent 11 Char,Dot pt Char,F5 List Paragraph Char,List Paragraph Char Char Char Char,Indicator Text Char,Numbered Para 1 Char,Bullet 1 Char,List Paragraph12 Char"/>
    <w:link w:val="ListParagraph"/>
    <w:uiPriority w:val="34"/>
    <w:locked/>
    <w:rsid w:val="00F75A73"/>
    <w:rPr>
      <w:noProof/>
    </w:rPr>
  </w:style>
  <w:style w:type="paragraph" w:styleId="ListParagraph">
    <w:name w:val="List Paragraph"/>
    <w:aliases w:val="Body of text,Heading 10,List Paragraph1,Colorful List - Accent 11,Dot pt,F5 List Paragraph,List Paragraph Char Char Char,Indicator Text,Numbered Para 1,Bullet 1,List Paragraph12,Bullet Points,MAIN CONTENT,Normal ind,Tabel,point-point,arab"/>
    <w:basedOn w:val="Normal"/>
    <w:link w:val="ListParagraphChar"/>
    <w:uiPriority w:val="34"/>
    <w:qFormat/>
    <w:rsid w:val="00F75A73"/>
    <w:pPr>
      <w:ind w:left="720"/>
      <w:contextualSpacing/>
    </w:pPr>
    <w:rPr>
      <w:rFonts w:asciiTheme="minorHAnsi" w:hAnsiTheme="minorHAnsi"/>
      <w:sz w:val="22"/>
      <w:lang w:val="en-US"/>
    </w:rPr>
  </w:style>
  <w:style w:type="table" w:styleId="TableGrid">
    <w:name w:val="Table Grid"/>
    <w:basedOn w:val="TableNormal"/>
    <w:uiPriority w:val="39"/>
    <w:rsid w:val="00F75A73"/>
    <w:pPr>
      <w:spacing w:after="0" w:line="240" w:lineRule="auto"/>
    </w:pPr>
    <w:rPr>
      <w:rFonts w:ascii="Times New Roman" w:hAnsi="Times New Roman"/>
      <w:sz w:val="24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7220"/>
    <w:pPr>
      <w:spacing w:before="100" w:beforeAutospacing="1" w:after="100" w:afterAutospacing="1"/>
    </w:pPr>
    <w:rPr>
      <w:rFonts w:eastAsiaTheme="minorEastAsia" w:cs="Times New Roman"/>
      <w:noProof w:val="0"/>
      <w:szCs w:val="24"/>
      <w:lang w:eastAsia="id-ID"/>
    </w:rPr>
  </w:style>
  <w:style w:type="paragraph" w:customStyle="1" w:styleId="Default">
    <w:name w:val="Default"/>
    <w:uiPriority w:val="99"/>
    <w:semiHidden/>
    <w:rsid w:val="00F672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d-ID"/>
    </w:rPr>
  </w:style>
  <w:style w:type="character" w:customStyle="1" w:styleId="personname">
    <w:name w:val="person_name"/>
    <w:basedOn w:val="DefaultParagraphFont"/>
    <w:rsid w:val="00F67220"/>
  </w:style>
  <w:style w:type="paragraph" w:styleId="BalloonText">
    <w:name w:val="Balloon Text"/>
    <w:basedOn w:val="Normal"/>
    <w:link w:val="BalloonTextChar"/>
    <w:uiPriority w:val="99"/>
    <w:semiHidden/>
    <w:unhideWhenUsed/>
    <w:rsid w:val="00F67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20"/>
    <w:rPr>
      <w:rFonts w:ascii="Tahoma" w:hAnsi="Tahoma" w:cs="Tahoma"/>
      <w:noProof/>
      <w:sz w:val="16"/>
      <w:szCs w:val="16"/>
      <w:lang w:val="id-ID"/>
    </w:rPr>
  </w:style>
  <w:style w:type="paragraph" w:styleId="NoSpacing">
    <w:name w:val="No Spacing"/>
    <w:uiPriority w:val="1"/>
    <w:qFormat/>
    <w:rsid w:val="001C5AE8"/>
    <w:pPr>
      <w:spacing w:after="0" w:line="240" w:lineRule="auto"/>
    </w:pPr>
    <w:rPr>
      <w:rFonts w:ascii="Times New Roman" w:hAnsi="Times New Roman"/>
      <w:noProof/>
      <w:sz w:val="24"/>
      <w:lang w:val="id-ID"/>
    </w:rPr>
  </w:style>
  <w:style w:type="table" w:customStyle="1" w:styleId="TableGrid11">
    <w:name w:val="Table Grid11"/>
    <w:basedOn w:val="TableNormal"/>
    <w:uiPriority w:val="39"/>
    <w:rsid w:val="001C5AE8"/>
    <w:pPr>
      <w:spacing w:after="0" w:line="240" w:lineRule="auto"/>
    </w:pPr>
    <w:rPr>
      <w:rFonts w:ascii="Calibri" w:eastAsia="Calibri" w:hAnsi="Calibri" w:cs="Times New Roman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5703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C682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C68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mkes.go.id/article/view/18110200003/potret-sehat%20indonesia-dari-riskesdas-2018.html" TargetMode="External"/><Relationship Id="rId13" Type="http://schemas.openxmlformats.org/officeDocument/2006/relationships/hyperlink" Target="https://www.who.int/health-topics/oral-healt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ng.com/search?q=dinsos+jakarta&amp;cvid=aaaaf49657d2497d8837a586eebb6537&amp;aqs=edge.0.0j69i57j0l4j69i64.2928j0j9&amp;FORM=ANAB01&amp;PC=U531" TargetMode="External"/><Relationship Id="rId12" Type="http://schemas.openxmlformats.org/officeDocument/2006/relationships/hyperlink" Target="https://doi.org/10.22435/jpppk.v0i0.56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86/s12903-021-01508-0" TargetMode="External"/><Relationship Id="rId11" Type="http://schemas.openxmlformats.org/officeDocument/2006/relationships/hyperlink" Target="https://www.nidcr.nih.gov/health-info/oral-hygie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186/s12889-020-08499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esmas.kemkes.go.id/konten/133/0/092709-cara-mencegah-penyakit-gigi-dan-mulu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2023-07-16T08:15:00Z</cp:lastPrinted>
  <dcterms:created xsi:type="dcterms:W3CDTF">2023-07-16T09:25:00Z</dcterms:created>
  <dcterms:modified xsi:type="dcterms:W3CDTF">2023-07-16T09:25:00Z</dcterms:modified>
</cp:coreProperties>
</file>