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72E4D" w14:textId="77777777" w:rsidR="00070DD1" w:rsidRDefault="00000000">
      <w:pPr>
        <w:keepNext/>
        <w:keepLines/>
        <w:spacing w:before="240" w:line="259" w:lineRule="auto"/>
        <w:jc w:val="center"/>
        <w:outlineLvl w:val="0"/>
        <w:rPr>
          <w:rFonts w:ascii="Times New Roman" w:eastAsia="DengXian Light" w:hAnsi="Times New Roman" w:cs="Times New Roman"/>
          <w:b/>
          <w:bCs/>
          <w:color w:val="000000"/>
          <w:sz w:val="24"/>
          <w:szCs w:val="24"/>
          <w:lang w:eastAsia="en-US"/>
        </w:rPr>
      </w:pPr>
      <w:bookmarkStart w:id="0" w:name="_Toc120540025"/>
      <w:bookmarkStart w:id="1" w:name="_Toc30443"/>
      <w:r>
        <w:rPr>
          <w:rFonts w:ascii="Times New Roman" w:eastAsia="DengXian Light" w:hAnsi="Times New Roman" w:cs="Times New Roman"/>
          <w:b/>
          <w:bCs/>
          <w:color w:val="000000"/>
          <w:sz w:val="24"/>
          <w:szCs w:val="24"/>
          <w:lang w:eastAsia="en-US"/>
        </w:rPr>
        <w:t>BAB II</w:t>
      </w:r>
      <w:bookmarkStart w:id="2" w:name="_Toc115771679"/>
    </w:p>
    <w:p w14:paraId="44D837C8" w14:textId="77777777" w:rsidR="00070DD1" w:rsidRDefault="00000000">
      <w:pPr>
        <w:keepNext/>
        <w:keepLines/>
        <w:spacing w:before="240" w:line="259" w:lineRule="auto"/>
        <w:jc w:val="center"/>
        <w:outlineLvl w:val="0"/>
        <w:rPr>
          <w:rFonts w:ascii="Times New Roman" w:eastAsia="DengXian Light" w:hAnsi="Times New Roman" w:cs="Times New Roman"/>
          <w:b/>
          <w:bCs/>
          <w:color w:val="000000"/>
          <w:sz w:val="24"/>
          <w:szCs w:val="24"/>
          <w:lang w:eastAsia="en-US"/>
        </w:rPr>
      </w:pPr>
      <w:r>
        <w:rPr>
          <w:rFonts w:ascii="Times New Roman" w:eastAsia="DengXian Light" w:hAnsi="Times New Roman" w:cs="Times New Roman"/>
          <w:b/>
          <w:bCs/>
          <w:color w:val="000000"/>
          <w:sz w:val="24"/>
          <w:szCs w:val="24"/>
          <w:lang w:eastAsia="en-US"/>
        </w:rPr>
        <w:br w:type="textWrapping" w:clear="all"/>
        <w:t>TINJAUAN PUSTAKA</w:t>
      </w:r>
      <w:bookmarkEnd w:id="0"/>
      <w:bookmarkEnd w:id="1"/>
      <w:bookmarkEnd w:id="2"/>
    </w:p>
    <w:p w14:paraId="35E0DE81" w14:textId="77777777" w:rsidR="00070DD1" w:rsidRDefault="00070DD1">
      <w:pPr>
        <w:spacing w:after="160" w:line="259" w:lineRule="auto"/>
        <w:rPr>
          <w:rFonts w:ascii="Calibri" w:eastAsia="Calibri" w:hAnsi="Calibri" w:cs="Times New Roman"/>
          <w:sz w:val="22"/>
          <w:szCs w:val="22"/>
          <w:lang w:eastAsia="en-US"/>
        </w:rPr>
      </w:pPr>
    </w:p>
    <w:p w14:paraId="0EC4D574" w14:textId="77777777" w:rsidR="00070DD1" w:rsidRDefault="00000000">
      <w:pPr>
        <w:keepNext/>
        <w:keepLines/>
        <w:numPr>
          <w:ilvl w:val="0"/>
          <w:numId w:val="1"/>
        </w:numPr>
        <w:spacing w:before="40" w:line="259" w:lineRule="auto"/>
        <w:ind w:left="450"/>
        <w:outlineLvl w:val="0"/>
        <w:rPr>
          <w:rFonts w:ascii="Times New Roman" w:eastAsia="DengXian Light" w:hAnsi="Times New Roman" w:cs="Times New Roman"/>
          <w:b/>
          <w:bCs/>
          <w:color w:val="000000"/>
          <w:sz w:val="24"/>
          <w:szCs w:val="24"/>
          <w:lang w:eastAsia="en-US"/>
        </w:rPr>
      </w:pPr>
      <w:bookmarkStart w:id="3" w:name="_Toc115771680"/>
      <w:bookmarkStart w:id="4" w:name="_Toc120540026"/>
      <w:bookmarkStart w:id="5" w:name="_Toc18736"/>
      <w:r>
        <w:rPr>
          <w:rFonts w:ascii="Times New Roman" w:eastAsia="DengXian Light" w:hAnsi="Times New Roman" w:cs="Times New Roman"/>
          <w:b/>
          <w:bCs/>
          <w:color w:val="000000"/>
          <w:sz w:val="24"/>
          <w:szCs w:val="24"/>
          <w:lang w:eastAsia="en-US"/>
        </w:rPr>
        <w:t>Rokok</w:t>
      </w:r>
      <w:bookmarkEnd w:id="3"/>
      <w:bookmarkEnd w:id="4"/>
      <w:bookmarkEnd w:id="5"/>
    </w:p>
    <w:p w14:paraId="303D8DC5" w14:textId="77777777" w:rsidR="00070DD1" w:rsidRDefault="00070DD1">
      <w:pPr>
        <w:spacing w:after="160" w:line="259" w:lineRule="auto"/>
        <w:rPr>
          <w:rFonts w:ascii="Calibri" w:eastAsia="Calibri" w:hAnsi="Calibri" w:cs="Times New Roman"/>
          <w:sz w:val="22"/>
          <w:szCs w:val="22"/>
          <w:lang w:eastAsia="en-US"/>
        </w:rPr>
      </w:pPr>
    </w:p>
    <w:p w14:paraId="4474951C" w14:textId="77777777" w:rsidR="00070DD1" w:rsidRDefault="00000000">
      <w:pPr>
        <w:keepNext/>
        <w:keepLines/>
        <w:numPr>
          <w:ilvl w:val="0"/>
          <w:numId w:val="2"/>
        </w:numPr>
        <w:spacing w:before="40" w:line="259" w:lineRule="auto"/>
        <w:outlineLvl w:val="1"/>
        <w:rPr>
          <w:rFonts w:ascii="Times New Roman" w:eastAsia="DengXian Light" w:hAnsi="Times New Roman" w:cs="Times New Roman"/>
          <w:sz w:val="24"/>
          <w:szCs w:val="24"/>
          <w:lang w:eastAsia="en-US"/>
        </w:rPr>
      </w:pPr>
      <w:bookmarkStart w:id="6" w:name="_Toc120540027"/>
      <w:r>
        <w:rPr>
          <w:rFonts w:ascii="Times New Roman" w:eastAsia="DengXian Light" w:hAnsi="Times New Roman" w:cs="Times New Roman"/>
          <w:sz w:val="24"/>
          <w:szCs w:val="24"/>
          <w:lang w:eastAsia="en-US"/>
        </w:rPr>
        <w:t>Pengertian rokok</w:t>
      </w:r>
      <w:bookmarkEnd w:id="6"/>
    </w:p>
    <w:p w14:paraId="47892525"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7362CB57" w14:textId="77777777" w:rsidR="00070DD1" w:rsidRDefault="00000000">
      <w:pPr>
        <w:spacing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Menurut Kamus Besar Bahasa Indonesia, rokok adalah gulungan tembakau yang dibungkus oleh daun nipah atau kertas. </w:t>
      </w:r>
    </w:p>
    <w:p w14:paraId="301FACB6" w14:textId="77777777" w:rsidR="00070DD1" w:rsidRDefault="00000000">
      <w:pPr>
        <w:spacing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Rokok adalah hasil olahan tembakau yang terbungkus dihasilkan dari tanaman </w:t>
      </w:r>
      <w:r>
        <w:rPr>
          <w:rFonts w:ascii="Times New Roman" w:eastAsia="Calibri" w:hAnsi="Times New Roman" w:cs="Times New Roman"/>
          <w:i/>
          <w:iCs/>
          <w:sz w:val="24"/>
          <w:szCs w:val="24"/>
          <w:lang w:eastAsia="en-US"/>
        </w:rPr>
        <w:t xml:space="preserve">Nicotiana Tabacum, Nicotiana Rustica </w:t>
      </w:r>
      <w:r>
        <w:rPr>
          <w:rFonts w:ascii="Times New Roman" w:eastAsia="Calibri" w:hAnsi="Times New Roman" w:cs="Times New Roman"/>
          <w:sz w:val="24"/>
          <w:szCs w:val="24"/>
          <w:lang w:eastAsia="en-US"/>
        </w:rPr>
        <w:t xml:space="preserve">dan spesies lainya atau sintesisnya yang mengsndung nikotin dan tar dengan atau tanpa bahan tambahan (Heryani,2014). </w:t>
      </w:r>
    </w:p>
    <w:p w14:paraId="4A318F5E" w14:textId="77777777" w:rsidR="00070DD1" w:rsidRDefault="00000000">
      <w:pPr>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Rokok adalah suatu produk yang mengandung zat adiktif (menimbulkan ketagihan) jika dikonsumsi dapat membahayakan Kesehatan individu dan masyarakat. Hal ini dikarenakan rokok mengandung banyak bahan kimia. Setiap satu batang rokok dibakar mengeluarkan sekitar 4000 (empat ribu) bahan kimia diantaranya adalah : nikotin, gas, karbon monoksida, nitrogen oksida, hidrogen sianida, ammonia, akrolein, benzene dan etanol (Kusuma, 2012).</w:t>
      </w:r>
      <w:bookmarkStart w:id="7" w:name="_Toc120540028"/>
    </w:p>
    <w:p w14:paraId="17C4E0DF" w14:textId="77777777" w:rsidR="00B96908" w:rsidRDefault="00000000" w:rsidP="00B96908">
      <w:pPr>
        <w:numPr>
          <w:ilvl w:val="0"/>
          <w:numId w:val="2"/>
        </w:numPr>
        <w:spacing w:before="240" w:after="120" w:line="480" w:lineRule="auto"/>
        <w:contextualSpacing/>
        <w:jc w:val="both"/>
        <w:rPr>
          <w:rFonts w:ascii="Times New Roman" w:eastAsia="Calibri" w:hAnsi="Times New Roman" w:cs="Times New Roman"/>
          <w:sz w:val="24"/>
          <w:szCs w:val="24"/>
          <w:lang w:eastAsia="en-US"/>
        </w:rPr>
      </w:pPr>
      <w:r>
        <w:rPr>
          <w:rFonts w:ascii="Times New Roman" w:eastAsia="DengXian Light" w:hAnsi="Times New Roman" w:cs="Times New Roman"/>
          <w:sz w:val="24"/>
          <w:szCs w:val="24"/>
          <w:lang w:eastAsia="en-US"/>
        </w:rPr>
        <w:t>Pengertian Merokok</w:t>
      </w:r>
      <w:bookmarkEnd w:id="7"/>
    </w:p>
    <w:p w14:paraId="7D81639A" w14:textId="49B74AFE" w:rsidR="00070DD1" w:rsidRPr="00B96908" w:rsidRDefault="00000000" w:rsidP="00B96908">
      <w:pPr>
        <w:spacing w:before="240" w:after="120" w:line="480" w:lineRule="auto"/>
        <w:ind w:left="720"/>
        <w:contextualSpacing/>
        <w:jc w:val="both"/>
        <w:rPr>
          <w:rFonts w:ascii="Times New Roman" w:eastAsia="Calibri" w:hAnsi="Times New Roman" w:cs="Times New Roman"/>
          <w:sz w:val="24"/>
          <w:szCs w:val="24"/>
          <w:lang w:eastAsia="en-US"/>
        </w:rPr>
        <w:sectPr w:rsidR="00070DD1" w:rsidRPr="00B96908">
          <w:footerReference w:type="default" r:id="rId9"/>
          <w:footerReference w:type="first" r:id="rId10"/>
          <w:pgSz w:w="11906" w:h="16838"/>
          <w:pgMar w:top="2160" w:right="1728" w:bottom="1728" w:left="2160" w:header="720" w:footer="720" w:gutter="0"/>
          <w:pgNumType w:start="10" w:chapStyle="1"/>
          <w:cols w:space="720"/>
          <w:docGrid w:linePitch="360"/>
        </w:sectPr>
      </w:pPr>
      <w:r>
        <w:rPr>
          <w:lang w:eastAsia="en-US"/>
        </w:rPr>
        <w:t xml:space="preserve">Merokok adalah membakar tembakau yang kemudian dihisap asapnya baik dengan menggunakan rokok atau pipa. Ketika merokok, asap yang dihisap akan menuju ke rongga mulut, dengan hitungan detik asap rokok yang dihisap yang mengandung banyak zat – zat kimia berbahaya. didalamnya sudah berada </w:t>
      </w:r>
    </w:p>
    <w:p w14:paraId="67D70D52" w14:textId="77777777" w:rsidR="00070DD1" w:rsidRDefault="00000000" w:rsidP="00B96908">
      <w:pPr>
        <w:spacing w:before="240" w:after="120" w:line="480" w:lineRule="auto"/>
        <w:ind w:leftChars="354" w:left="708"/>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dalam rongga mulut, dan secara otomatis akan mempengaruhi jaringan rogan yang ada didalam rongga mulut, termasuk gigi (Yudistira, 2014)</w:t>
      </w:r>
    </w:p>
    <w:p w14:paraId="4026DEBA" w14:textId="77777777" w:rsidR="00070DD1" w:rsidRDefault="00000000">
      <w:pPr>
        <w:keepNext/>
        <w:keepLines/>
        <w:numPr>
          <w:ilvl w:val="0"/>
          <w:numId w:val="2"/>
        </w:numPr>
        <w:spacing w:before="40" w:line="259" w:lineRule="auto"/>
        <w:outlineLvl w:val="1"/>
        <w:rPr>
          <w:rFonts w:ascii="Times New Roman" w:eastAsia="DengXian Light" w:hAnsi="Times New Roman" w:cs="Times New Roman"/>
          <w:sz w:val="24"/>
          <w:szCs w:val="24"/>
          <w:lang w:eastAsia="en-US"/>
        </w:rPr>
      </w:pPr>
      <w:bookmarkStart w:id="8" w:name="_Toc120540029"/>
      <w:r>
        <w:rPr>
          <w:rFonts w:ascii="Times New Roman" w:eastAsia="DengXian Light" w:hAnsi="Times New Roman" w:cs="Times New Roman"/>
          <w:sz w:val="24"/>
          <w:szCs w:val="24"/>
          <w:lang w:eastAsia="en-US"/>
        </w:rPr>
        <w:t>Pengertian Perokok</w:t>
      </w:r>
      <w:bookmarkEnd w:id="8"/>
    </w:p>
    <w:p w14:paraId="2E3B5A8A"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360D3939" w14:textId="77777777" w:rsidR="00070DD1" w:rsidRDefault="00000000">
      <w:pPr>
        <w:spacing w:before="240" w:after="120" w:line="480" w:lineRule="auto"/>
        <w:ind w:left="720" w:firstLine="720"/>
        <w:contextualSpacing/>
        <w:jc w:val="both"/>
        <w:rPr>
          <w:rFonts w:ascii="Times New Roman" w:eastAsia="Calibri" w:hAnsi="Times New Roman" w:cs="Times New Roman"/>
          <w:b/>
          <w:bCs/>
          <w:sz w:val="24"/>
          <w:szCs w:val="24"/>
          <w:lang w:eastAsia="en-US"/>
        </w:rPr>
      </w:pPr>
      <w:r>
        <w:rPr>
          <w:rFonts w:ascii="Times New Roman" w:eastAsia="Calibri" w:hAnsi="Times New Roman" w:cs="Times New Roman"/>
          <w:sz w:val="24"/>
          <w:szCs w:val="24"/>
          <w:lang w:eastAsia="en-US"/>
        </w:rPr>
        <w:t>Perokok adalah seseorang yang suka merokok , disebut perokok aktif bila seseorang yang merokok secara aktif (KBBI, 2018)</w:t>
      </w:r>
    </w:p>
    <w:p w14:paraId="3459186C" w14:textId="77777777" w:rsidR="00070DD1" w:rsidRDefault="00000000">
      <w:pPr>
        <w:keepNext/>
        <w:keepLines/>
        <w:numPr>
          <w:ilvl w:val="0"/>
          <w:numId w:val="2"/>
        </w:numPr>
        <w:spacing w:before="40" w:line="259" w:lineRule="auto"/>
        <w:outlineLvl w:val="1"/>
        <w:rPr>
          <w:rFonts w:ascii="Times New Roman" w:eastAsia="DengXian Light" w:hAnsi="Times New Roman" w:cs="Times New Roman"/>
          <w:sz w:val="24"/>
          <w:szCs w:val="24"/>
          <w:lang w:eastAsia="en-US"/>
        </w:rPr>
      </w:pPr>
      <w:bookmarkStart w:id="9" w:name="_Toc120540030"/>
      <w:r>
        <w:rPr>
          <w:rFonts w:ascii="Times New Roman" w:eastAsia="DengXian Light" w:hAnsi="Times New Roman" w:cs="Times New Roman"/>
          <w:sz w:val="24"/>
          <w:szCs w:val="24"/>
          <w:lang w:eastAsia="en-US"/>
        </w:rPr>
        <w:t>Kandungan rokok</w:t>
      </w:r>
      <w:bookmarkEnd w:id="9"/>
    </w:p>
    <w:p w14:paraId="590AC378"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0CF9C370" w14:textId="77777777" w:rsidR="00070DD1" w:rsidRDefault="00000000">
      <w:pPr>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Menurut Rocha, Anwar dan Rahmadani (2019) Rokok mengandung lebih dari 4000 jenis bahan kimia, dan 400 dari bahan – bahan yang dapat bersifat racun pada tubuh manusia, sedangkan 40 dari bahan tersebut bisa menyebabkan penyakit kanker. Beberapa zat yang berbahaya pada rokok yaitu sebagai berikut :</w:t>
      </w:r>
    </w:p>
    <w:p w14:paraId="64CB684B" w14:textId="77777777" w:rsidR="00070DD1" w:rsidRDefault="00000000">
      <w:pPr>
        <w:numPr>
          <w:ilvl w:val="0"/>
          <w:numId w:val="3"/>
        </w:numPr>
        <w:spacing w:before="240" w:after="120" w:line="480" w:lineRule="auto"/>
        <w:ind w:left="12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Nikotin </w:t>
      </w:r>
    </w:p>
    <w:p w14:paraId="6A6CDF75" w14:textId="77777777" w:rsidR="00070DD1" w:rsidRDefault="00000000">
      <w:pPr>
        <w:spacing w:before="240" w:after="120" w:line="480" w:lineRule="auto"/>
        <w:ind w:left="1200" w:firstLine="36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Nikotin merupakan zat yang dapat menyebabkan ketergantungan pada perokok. Nikotin merupakan salah satu jenis obat perangsang yang dapat merusak jantung dan peredaran darah, serta nikotin membuat kecanduan pada pemakainya. Nikotin merangsang otak untuk terus menambah jumlah nikotin yang dibutuhkan. Pada satu batang rokok rata-rata mengandung 0,1 - 0,2 mg nikotin.</w:t>
      </w:r>
    </w:p>
    <w:p w14:paraId="6DC58004" w14:textId="77777777" w:rsidR="00070DD1" w:rsidRDefault="00000000">
      <w:pPr>
        <w:numPr>
          <w:ilvl w:val="0"/>
          <w:numId w:val="3"/>
        </w:numPr>
        <w:spacing w:before="240" w:after="120" w:line="480" w:lineRule="auto"/>
        <w:ind w:left="12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Karbon Monoksida ( CO )</w:t>
      </w:r>
    </w:p>
    <w:p w14:paraId="4CCD049A" w14:textId="77777777" w:rsidR="00070DD1" w:rsidRDefault="00000000">
      <w:pPr>
        <w:spacing w:before="240" w:after="120" w:line="480" w:lineRule="auto"/>
        <w:ind w:left="1200" w:firstLine="360"/>
        <w:contextualSpacing/>
        <w:jc w:val="both"/>
        <w:rPr>
          <w:rFonts w:ascii="Times New Roman" w:eastAsia="Calibri" w:hAnsi="Times New Roman" w:cs="Times New Roman"/>
          <w:sz w:val="24"/>
          <w:szCs w:val="24"/>
          <w:lang w:eastAsia="en-US"/>
        </w:rPr>
        <w:sectPr w:rsidR="00070DD1">
          <w:headerReference w:type="default" r:id="rId11"/>
          <w:footerReference w:type="default" r:id="rId12"/>
          <w:pgSz w:w="11906" w:h="16838"/>
          <w:pgMar w:top="2160" w:right="1728" w:bottom="1728" w:left="2160" w:header="720" w:footer="720" w:gutter="0"/>
          <w:pgNumType w:chapStyle="1"/>
          <w:cols w:space="720"/>
          <w:docGrid w:linePitch="360"/>
        </w:sectPr>
      </w:pPr>
      <w:r>
        <w:rPr>
          <w:rFonts w:ascii="Times New Roman" w:eastAsia="Calibri" w:hAnsi="Times New Roman" w:cs="Times New Roman"/>
          <w:sz w:val="24"/>
          <w:szCs w:val="24"/>
          <w:lang w:eastAsia="en-US"/>
        </w:rPr>
        <w:t xml:space="preserve">Salah satu zat berbahaya yang terkandung dalam rokok yaitu karbon monoksida. Gas berbahaya pada asap rokok ini seperti yang ditemukan pada asap pembuangan mobil. Karbon monoksida </w:t>
      </w:r>
    </w:p>
    <w:p w14:paraId="70365831" w14:textId="77777777" w:rsidR="00070DD1" w:rsidRDefault="00000000">
      <w:pPr>
        <w:spacing w:before="240" w:after="120" w:line="480" w:lineRule="auto"/>
        <w:ind w:left="1320" w:firstLine="36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menggantikan sekitar 15% jumlah oksigen yang biasanya dibawa oleh sel darah merah, sehingga menyebabkan kebutuhan oksigen ke jantung pada seorang perokok menjadi berkurang. Gas Karbon monoksida juga yang dapat merusak lapisan pembuluh darah dan meningkatkan kadar lemak disekitar  dinding pembuluh darah. Hal tersebut dapat mengakibatkan terjadinya penyumbatan pada pembuluh darah.</w:t>
      </w:r>
    </w:p>
    <w:p w14:paraId="6FE23E3E"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Tar</w:t>
      </w:r>
    </w:p>
    <w:p w14:paraId="557AC6D6" w14:textId="77777777" w:rsidR="00070DD1" w:rsidRDefault="00000000">
      <w:pPr>
        <w:spacing w:before="240" w:after="120" w:line="480" w:lineRule="auto"/>
        <w:ind w:left="1320" w:firstLine="36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Tar merupakan zat lain yang juga terdapat dalam rokok dan digunakan untuk melapisi jalan atau aspal. Tar mengandung bahan kimia yang beracun yang dapat merusak sel paru-paru dan menyebabkan kanker. Tar bukan zat tunggal, namun terdiri atas ratusan bahan kimia gelap dan lengket.</w:t>
      </w:r>
    </w:p>
    <w:p w14:paraId="622AD263"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Arsenic</w:t>
      </w:r>
    </w:p>
    <w:p w14:paraId="1FD60738" w14:textId="77777777" w:rsidR="00070DD1" w:rsidRDefault="00000000">
      <w:pPr>
        <w:spacing w:before="240" w:after="120" w:line="480" w:lineRule="auto"/>
        <w:ind w:left="1320" w:firstLineChars="183" w:firstLine="43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Salah satu unsur kimia yang digunakan untuk membunuh serangga terdiri dari beberapa unsur :</w:t>
      </w:r>
    </w:p>
    <w:p w14:paraId="70DFAE5B" w14:textId="77777777" w:rsidR="00070DD1" w:rsidRDefault="00000000">
      <w:pPr>
        <w:numPr>
          <w:ilvl w:val="0"/>
          <w:numId w:val="4"/>
        </w:numPr>
        <w:spacing w:before="240" w:after="120" w:line="480" w:lineRule="auto"/>
        <w:ind w:left="1760"/>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 xml:space="preserve">Nitrogen okside, </w:t>
      </w:r>
      <w:r>
        <w:rPr>
          <w:rFonts w:ascii="Times New Roman" w:eastAsia="Calibri" w:hAnsi="Times New Roman" w:cs="Times New Roman"/>
          <w:sz w:val="24"/>
          <w:szCs w:val="24"/>
          <w:lang w:eastAsia="en-US"/>
        </w:rPr>
        <w:t>adalah unsur kimia yang dapat menggangu saluran pernafasan, bahakan merangsang terjadinya kerusakan dan perubahan kulit tubuh.</w:t>
      </w:r>
    </w:p>
    <w:p w14:paraId="5030D00B" w14:textId="77777777" w:rsidR="00070DD1" w:rsidRDefault="00000000">
      <w:pPr>
        <w:numPr>
          <w:ilvl w:val="0"/>
          <w:numId w:val="4"/>
        </w:numPr>
        <w:spacing w:before="240" w:after="120" w:line="480" w:lineRule="auto"/>
        <w:ind w:left="1760"/>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 xml:space="preserve">Amonium Korbat, </w:t>
      </w:r>
      <w:r>
        <w:rPr>
          <w:rFonts w:ascii="Times New Roman" w:eastAsia="Calibri" w:hAnsi="Times New Roman" w:cs="Times New Roman"/>
          <w:sz w:val="24"/>
          <w:szCs w:val="24"/>
          <w:lang w:eastAsia="en-US"/>
        </w:rPr>
        <w:t>yaitu zat yang bisa membentuk plak kuning pada permukaan lidah sehingga menggangu indara perasa yang terdapat pada lidah.</w:t>
      </w:r>
    </w:p>
    <w:p w14:paraId="7BAA20EA" w14:textId="77777777" w:rsidR="00070DD1" w:rsidRDefault="00070DD1">
      <w:pPr>
        <w:spacing w:before="240" w:after="120" w:line="480" w:lineRule="auto"/>
        <w:ind w:left="1400"/>
        <w:contextualSpacing/>
        <w:jc w:val="both"/>
        <w:rPr>
          <w:rFonts w:ascii="Times New Roman" w:eastAsia="Calibri" w:hAnsi="Times New Roman" w:cs="Times New Roman"/>
          <w:sz w:val="24"/>
          <w:szCs w:val="24"/>
          <w:lang w:eastAsia="en-US"/>
        </w:rPr>
      </w:pPr>
    </w:p>
    <w:p w14:paraId="48BDB8ED"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Amonia</w:t>
      </w:r>
    </w:p>
    <w:p w14:paraId="316C491F" w14:textId="77777777" w:rsidR="00070DD1" w:rsidRDefault="00000000">
      <w:pPr>
        <w:spacing w:before="240" w:after="120" w:line="480" w:lineRule="auto"/>
        <w:ind w:left="1320" w:firstLine="36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Merganser gas yang tidak berwarna terdiri dari nitrogen dan hydrogen. Zat ini sangat tajam baunya dan sangat merangsang. Amonia sangat mudah memasuki sel-sel tubuh. Saking kerasnya racun yang terdapat dalam zat ini, sehingga jika disuntikkan sedikit saja ke dalam tubuh bisa menyebabkan orang pingsan bahkan sampai koma</w:t>
      </w:r>
    </w:p>
    <w:p w14:paraId="223DE8C1"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Formic Acid</w:t>
      </w:r>
    </w:p>
    <w:p w14:paraId="3C16FA52" w14:textId="77777777" w:rsidR="00070DD1" w:rsidRDefault="00000000">
      <w:pPr>
        <w:spacing w:before="240" w:after="120" w:line="480" w:lineRule="auto"/>
        <w:ind w:left="1320" w:firstLine="45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Zat ini sangat tajam, memiliki bau yang menusuk dan dapat menyebabkan lepuh. Bertambah banyak zat tersebut dalam peredaran darah dapat menyebabkan pernafasan menjadi cepat.</w:t>
      </w:r>
    </w:p>
    <w:p w14:paraId="588DFD32"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Hydrogen cyanide (HCN)</w:t>
      </w:r>
    </w:p>
    <w:p w14:paraId="5A374619" w14:textId="77777777" w:rsidR="00070DD1" w:rsidRDefault="00000000">
      <w:pPr>
        <w:spacing w:before="240" w:after="120" w:line="480" w:lineRule="auto"/>
        <w:ind w:left="1320" w:firstLine="45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Merupakan zat yang tidak berwarna dan  mudah terbakar sehingga sangat efisien untuk menghambat pernapasan. </w:t>
      </w:r>
      <w:r>
        <w:rPr>
          <w:rFonts w:ascii="Times New Roman" w:eastAsia="Calibri" w:hAnsi="Times New Roman" w:cs="Times New Roman"/>
          <w:i/>
          <w:iCs/>
          <w:sz w:val="24"/>
          <w:szCs w:val="24"/>
          <w:lang w:eastAsia="en-US"/>
        </w:rPr>
        <w:t xml:space="preserve">Hydrogen cyanide </w:t>
      </w:r>
      <w:r>
        <w:rPr>
          <w:rFonts w:ascii="Times New Roman" w:eastAsia="Calibri" w:hAnsi="Times New Roman" w:cs="Times New Roman"/>
          <w:sz w:val="24"/>
          <w:szCs w:val="24"/>
          <w:lang w:eastAsia="en-US"/>
        </w:rPr>
        <w:t>salah satu zat yang sangat berbahaya. Sedikit saja zat ini masuk ke dalam tubuh dapat menyebabkan kematian.</w:t>
      </w:r>
    </w:p>
    <w:p w14:paraId="15890C3E" w14:textId="77777777" w:rsidR="00070DD1" w:rsidRDefault="00000000">
      <w:pPr>
        <w:numPr>
          <w:ilvl w:val="0"/>
          <w:numId w:val="3"/>
        </w:numPr>
        <w:spacing w:before="240" w:after="120" w:line="480" w:lineRule="auto"/>
        <w:ind w:left="13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Metanol</w:t>
      </w:r>
    </w:p>
    <w:p w14:paraId="45A77439" w14:textId="77777777" w:rsidR="00070DD1" w:rsidRDefault="00000000">
      <w:pPr>
        <w:spacing w:before="240" w:after="120" w:line="480" w:lineRule="auto"/>
        <w:ind w:left="1320" w:firstLine="45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Metanol adalah sejenis cairan ringan dapat mudah menguap dan terbakar. Meminum atau menghisap metanol dapat mengakibatkan kebutaan hingga  kematian.</w:t>
      </w:r>
      <w:bookmarkStart w:id="10" w:name="_Toc120540031"/>
    </w:p>
    <w:bookmarkEnd w:id="10"/>
    <w:p w14:paraId="44229668" w14:textId="77777777" w:rsidR="00070DD1" w:rsidRDefault="00070DD1">
      <w:pPr>
        <w:spacing w:before="240" w:after="120" w:line="480" w:lineRule="auto"/>
        <w:ind w:left="360"/>
        <w:contextualSpacing/>
        <w:jc w:val="both"/>
        <w:rPr>
          <w:rFonts w:ascii="Times New Roman" w:eastAsia="DengXian Light" w:hAnsi="Times New Roman" w:cs="Times New Roman"/>
          <w:sz w:val="24"/>
          <w:szCs w:val="24"/>
          <w:lang w:eastAsia="en-US"/>
        </w:rPr>
      </w:pPr>
    </w:p>
    <w:p w14:paraId="7DF0FC9A" w14:textId="77777777" w:rsidR="00070DD1" w:rsidRDefault="00070DD1">
      <w:pPr>
        <w:spacing w:before="240" w:after="120" w:line="480" w:lineRule="auto"/>
        <w:contextualSpacing/>
        <w:jc w:val="both"/>
        <w:rPr>
          <w:rFonts w:ascii="Times New Roman" w:eastAsia="Calibri" w:hAnsi="Times New Roman" w:cs="Times New Roman"/>
          <w:sz w:val="24"/>
          <w:szCs w:val="24"/>
          <w:lang w:eastAsia="en-US"/>
        </w:rPr>
      </w:pPr>
    </w:p>
    <w:p w14:paraId="2117A492" w14:textId="77777777" w:rsidR="00070DD1" w:rsidRDefault="00070DD1">
      <w:pPr>
        <w:spacing w:before="240" w:after="120" w:line="480" w:lineRule="auto"/>
        <w:ind w:left="1170" w:firstLine="450"/>
        <w:contextualSpacing/>
        <w:jc w:val="both"/>
        <w:rPr>
          <w:rFonts w:ascii="Times New Roman" w:eastAsia="Calibri" w:hAnsi="Times New Roman" w:cs="Times New Roman"/>
          <w:sz w:val="24"/>
          <w:szCs w:val="24"/>
          <w:lang w:eastAsia="en-US"/>
        </w:rPr>
        <w:sectPr w:rsidR="00070DD1">
          <w:headerReference w:type="default" r:id="rId13"/>
          <w:footerReference w:type="default" r:id="rId14"/>
          <w:pgSz w:w="11906" w:h="16838"/>
          <w:pgMar w:top="2160" w:right="1728" w:bottom="1729" w:left="2160" w:header="720" w:footer="720" w:gutter="0"/>
          <w:pgNumType w:start="13" w:chapStyle="1"/>
          <w:cols w:space="720"/>
          <w:docGrid w:linePitch="360"/>
        </w:sectPr>
      </w:pPr>
    </w:p>
    <w:p w14:paraId="23113C00" w14:textId="77777777" w:rsidR="00070DD1" w:rsidRDefault="00000000">
      <w:pPr>
        <w:numPr>
          <w:ilvl w:val="0"/>
          <w:numId w:val="2"/>
        </w:numPr>
        <w:spacing w:before="240" w:after="120"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Akibat merokok pada rongga mulut dan saliva </w:t>
      </w:r>
    </w:p>
    <w:p w14:paraId="67378000" w14:textId="77777777" w:rsidR="00070DD1" w:rsidRDefault="00000000">
      <w:pPr>
        <w:numPr>
          <w:ilvl w:val="0"/>
          <w:numId w:val="5"/>
        </w:numPr>
        <w:tabs>
          <w:tab w:val="clear" w:pos="425"/>
        </w:tabs>
        <w:spacing w:before="240" w:after="120" w:line="480" w:lineRule="auto"/>
        <w:ind w:left="12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Rongga Mulut</w:t>
      </w:r>
    </w:p>
    <w:p w14:paraId="57365C16" w14:textId="77777777" w:rsidR="00070DD1" w:rsidRDefault="00000000">
      <w:pPr>
        <w:spacing w:before="240" w:after="120" w:line="480" w:lineRule="auto"/>
        <w:ind w:left="1200"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Rongga mulut merupakan jalan masuk utama untuk makanan, minuman, dan bahan-bahan lain, contohnya rokok. Kandungan rokok berupa tar, nikotin, karbon monoksida, ammonia, dan derivat-derivat lainnya dapat mengiritasi rongga mulut saat dikonsumsi karena adanya pembakaran. Aktifitas merokok merupakan salah satu pencetus timbulnya gangguan serta penyakit rongga mulut, antara lain dapat mengakibatkan gigi berubah warna, penebalan mukosa, gingivitis bahkan penyakit kanker mulut (Novitasari, Wowor, dan Kaunang, 2014). Selain itu merokok juga dapat menimbulkan pewarnaan noda pada gigi dan lidah dengan merokok bisa menyebabkan timbulnya noda atau biasa disebut stain, noda ini biasanya berwarna kekuning-kuningan atau coklat kehitam-hitaman dan tidak mudah dihilangkan dengan menggunakan sikat gigi (Septa, 2017).</w:t>
      </w:r>
    </w:p>
    <w:p w14:paraId="5B779AE5" w14:textId="77777777" w:rsidR="00070DD1" w:rsidRDefault="00000000">
      <w:pPr>
        <w:numPr>
          <w:ilvl w:val="0"/>
          <w:numId w:val="5"/>
        </w:numPr>
        <w:tabs>
          <w:tab w:val="clear" w:pos="425"/>
        </w:tabs>
        <w:spacing w:before="240" w:after="120" w:line="480" w:lineRule="auto"/>
        <w:ind w:left="12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Saliva </w:t>
      </w:r>
    </w:p>
    <w:p w14:paraId="167E3A68" w14:textId="77777777" w:rsidR="00070DD1" w:rsidRDefault="00000000">
      <w:pPr>
        <w:spacing w:before="240" w:after="120" w:line="480" w:lineRule="auto"/>
        <w:ind w:left="1170" w:firstLine="54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Rokok dapat mempengaruhi segala sistem tubuh. Mulut merupakan organ pertama yang terpapar oleh rokok, dan banyak penyakit yang timbul akibat paparan rokok. Gangguan kesehatan yang ditimbulkan pun bervariasi, seperti kebersihan mulut dan gigi yang buruk, terdapat lesi dan juga terdapat peradangan. Bahan toksik yang terdapat pada rokok dapat menyebabkan iritasi pada jaringan lunak di rongga mulut, infeksi mukosa, memperlambat penyembuhan luka, </w:t>
      </w:r>
      <w:r>
        <w:rPr>
          <w:rFonts w:ascii="Times New Roman" w:eastAsia="Calibri" w:hAnsi="Times New Roman" w:cs="Times New Roman"/>
          <w:sz w:val="24"/>
          <w:szCs w:val="24"/>
          <w:lang w:eastAsia="en-US"/>
        </w:rPr>
        <w:lastRenderedPageBreak/>
        <w:t>memperlemah kemampuan fagositois, dan bahkan mengurangi asupan aliran darah ke ginggiva. Saliva merupakan cairan biologis pertama dari tubuh kita yang terpapar oleh tembakau dari rokok yang mengandung bahan-bahan bersifat toksik dapat mengubah saliva baik secara struktural maupun fungsional (Pramesta, 2015).</w:t>
      </w:r>
    </w:p>
    <w:p w14:paraId="03935AE3" w14:textId="77777777" w:rsidR="00070DD1" w:rsidRDefault="00000000">
      <w:pPr>
        <w:keepNext/>
        <w:keepLines/>
        <w:numPr>
          <w:ilvl w:val="0"/>
          <w:numId w:val="1"/>
        </w:numPr>
        <w:spacing w:before="240" w:line="259" w:lineRule="auto"/>
        <w:ind w:left="450"/>
        <w:outlineLvl w:val="0"/>
        <w:rPr>
          <w:rFonts w:ascii="Times New Roman" w:eastAsia="DengXian Light" w:hAnsi="Times New Roman" w:cs="Times New Roman"/>
          <w:b/>
          <w:bCs/>
          <w:color w:val="000000"/>
          <w:sz w:val="24"/>
          <w:szCs w:val="24"/>
          <w:lang w:eastAsia="en-US"/>
        </w:rPr>
      </w:pPr>
      <w:bookmarkStart w:id="11" w:name="_Toc24360"/>
      <w:bookmarkStart w:id="12" w:name="_Toc120540032"/>
      <w:bookmarkStart w:id="13" w:name="_Toc115771681"/>
      <w:r>
        <w:rPr>
          <w:rFonts w:ascii="Times New Roman" w:eastAsia="DengXian Light" w:hAnsi="Times New Roman" w:cs="Times New Roman"/>
          <w:b/>
          <w:bCs/>
          <w:color w:val="000000"/>
          <w:sz w:val="24"/>
          <w:szCs w:val="24"/>
          <w:lang w:eastAsia="en-US"/>
        </w:rPr>
        <w:t>Saliva</w:t>
      </w:r>
      <w:bookmarkEnd w:id="11"/>
      <w:bookmarkEnd w:id="12"/>
      <w:bookmarkEnd w:id="13"/>
      <w:r>
        <w:rPr>
          <w:rFonts w:ascii="Times New Roman" w:eastAsia="DengXian Light" w:hAnsi="Times New Roman" w:cs="Times New Roman"/>
          <w:b/>
          <w:bCs/>
          <w:color w:val="000000"/>
          <w:sz w:val="24"/>
          <w:szCs w:val="24"/>
          <w:lang w:eastAsia="en-US"/>
        </w:rPr>
        <w:t xml:space="preserve"> </w:t>
      </w:r>
    </w:p>
    <w:p w14:paraId="4712654C" w14:textId="77777777" w:rsidR="00070DD1" w:rsidRDefault="00070DD1">
      <w:pPr>
        <w:keepNext/>
        <w:keepLines/>
        <w:spacing w:before="240" w:line="259" w:lineRule="auto"/>
        <w:ind w:left="90"/>
        <w:outlineLvl w:val="0"/>
        <w:rPr>
          <w:rFonts w:ascii="Times New Roman" w:eastAsia="DengXian Light" w:hAnsi="Times New Roman" w:cs="Times New Roman"/>
          <w:color w:val="000000"/>
          <w:sz w:val="24"/>
          <w:szCs w:val="24"/>
          <w:lang w:eastAsia="en-US"/>
        </w:rPr>
      </w:pPr>
    </w:p>
    <w:p w14:paraId="27C4DC3E"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4" w:name="_Toc120540033"/>
      <w:r>
        <w:rPr>
          <w:rFonts w:ascii="Times New Roman" w:eastAsia="DengXian Light" w:hAnsi="Times New Roman" w:cs="Times New Roman"/>
          <w:sz w:val="24"/>
          <w:szCs w:val="24"/>
          <w:lang w:eastAsia="en-US"/>
        </w:rPr>
        <w:t>Definisi Saliva</w:t>
      </w:r>
      <w:bookmarkEnd w:id="14"/>
      <w:r>
        <w:rPr>
          <w:rFonts w:ascii="Times New Roman" w:eastAsia="DengXian Light" w:hAnsi="Times New Roman" w:cs="Times New Roman"/>
          <w:sz w:val="24"/>
          <w:szCs w:val="24"/>
          <w:lang w:eastAsia="en-US"/>
        </w:rPr>
        <w:t xml:space="preserve"> </w:t>
      </w:r>
    </w:p>
    <w:p w14:paraId="464202E0" w14:textId="77777777" w:rsidR="00070DD1" w:rsidRDefault="00000000">
      <w:pPr>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Saliva merupakan cairan mulut terdiri atas campuran sekresi dari kelenjar ludah besar dan kecil yang ada pada mukosa mulut (Kidd dan Bechal, 2013) . Cairan ini berasal dari kelenjar saliva mayor dan minor. Saliva diperlukan dalam jumlah yang cukup di dalam rongga mulut, apabila kekurangan saliva akan membuat tingginya jumlah plak dalam mulut (Tarigan, 2016).</w:t>
      </w:r>
    </w:p>
    <w:p w14:paraId="6D7528BC" w14:textId="77777777" w:rsidR="00070DD1" w:rsidRDefault="00000000">
      <w:pPr>
        <w:tabs>
          <w:tab w:val="left" w:pos="2610"/>
        </w:tabs>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Sekresi saliva normalnya antara 800 sampai 1500 mililiter dengan ratarata sekitar 1000 mililiter. Untuk pH, saliva memiliki pH antara 6,0 sampai 7,0, yang merupakan pH yang baik untuk mengaktifkan ptyalin (α-amilase). Pada saliva sendiri, pH yang di keluarkan dapat dipengaruhi saat aktivitas kelenjar itu sendiri. Pada keadaan saat kelenjar sedang istirahat, pH saliva sedikit lebih rendah dari 7,0, sedangkan saat kelenjar sedang aktif melakukan sekresi, pH pada saliva dapat mencapai 8,0 (Guyton AC, Hall JE, 2013).</w:t>
      </w:r>
    </w:p>
    <w:p w14:paraId="42A89A93"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5" w:name="_Toc120540034"/>
      <w:r>
        <w:rPr>
          <w:rFonts w:ascii="Times New Roman" w:eastAsia="DengXian Light" w:hAnsi="Times New Roman" w:cs="Times New Roman"/>
          <w:sz w:val="24"/>
          <w:szCs w:val="24"/>
          <w:lang w:eastAsia="en-US"/>
        </w:rPr>
        <w:lastRenderedPageBreak/>
        <w:t>Komposisi Air Ludah (Saliva)</w:t>
      </w:r>
      <w:bookmarkEnd w:id="15"/>
    </w:p>
    <w:p w14:paraId="593ED0FE"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59E48713" w14:textId="77777777" w:rsidR="00070DD1" w:rsidRDefault="00000000">
      <w:pPr>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Komposisi kimia air ludah amat bervariasi, terdiri dari: 99,0- 99,5 air, musin (</w:t>
      </w:r>
      <w:r>
        <w:rPr>
          <w:rFonts w:ascii="Times New Roman" w:eastAsia="Calibri" w:hAnsi="Times New Roman" w:cs="Times New Roman"/>
          <w:i/>
          <w:iCs/>
          <w:sz w:val="24"/>
          <w:szCs w:val="24"/>
          <w:lang w:eastAsia="en-US"/>
        </w:rPr>
        <w:t>glikoprotein</w:t>
      </w:r>
      <w:r>
        <w:rPr>
          <w:rFonts w:ascii="Times New Roman" w:eastAsia="Calibri" w:hAnsi="Times New Roman" w:cs="Times New Roman"/>
          <w:sz w:val="24"/>
          <w:szCs w:val="24"/>
          <w:lang w:eastAsia="en-US"/>
        </w:rPr>
        <w:t xml:space="preserve"> air ludah), putih telur, mineral-mineral (seperti K, Na, dll), epitel, leukosit, limposit, bakteri dan enzim. Di dalam air ludah dijumpai enzim </w:t>
      </w:r>
      <w:r>
        <w:rPr>
          <w:rFonts w:ascii="Times New Roman" w:eastAsia="Calibri" w:hAnsi="Times New Roman" w:cs="Times New Roman"/>
          <w:i/>
          <w:iCs/>
          <w:sz w:val="24"/>
          <w:szCs w:val="24"/>
          <w:lang w:eastAsia="en-US"/>
        </w:rPr>
        <w:t>belaamilase, fosfatase, oksidase, glikogenase, kolagenase, lipase, protease</w:t>
      </w:r>
      <w:r>
        <w:rPr>
          <w:rFonts w:ascii="Times New Roman" w:eastAsia="Calibri" w:hAnsi="Times New Roman" w:cs="Times New Roman"/>
          <w:sz w:val="24"/>
          <w:szCs w:val="24"/>
          <w:lang w:eastAsia="en-US"/>
        </w:rPr>
        <w:t xml:space="preserve"> dll. Enzim ini berasal bakteri- bakteri, </w:t>
      </w:r>
      <w:r>
        <w:rPr>
          <w:rFonts w:ascii="Times New Roman" w:eastAsia="Calibri" w:hAnsi="Times New Roman" w:cs="Times New Roman"/>
          <w:i/>
          <w:iCs/>
          <w:sz w:val="24"/>
          <w:szCs w:val="24"/>
          <w:lang w:eastAsia="en-US"/>
        </w:rPr>
        <w:t>epithel</w:t>
      </w:r>
      <w:r>
        <w:rPr>
          <w:rFonts w:ascii="Times New Roman" w:eastAsia="Calibri" w:hAnsi="Times New Roman" w:cs="Times New Roman"/>
          <w:sz w:val="24"/>
          <w:szCs w:val="24"/>
          <w:lang w:eastAsia="en-US"/>
        </w:rPr>
        <w:t>, serta granulasit dan limfosit. Secara kimiawi, dengan adanya unsur Ca dan ion fosfat, akan membantu penggantian mineralisasi terhadap email atau menetralisasi keadaan asam dan basa dari ludah. Enzim enzim mucine, zidene dan lisosim yang terdapat dalam air ludah mempunyai sifat bakteriostatis yang dapat membuat beberapa bakteri mulut menjadi tidak berbahaya (Tarigan, 2016 ).</w:t>
      </w:r>
    </w:p>
    <w:p w14:paraId="2F1EC5D6"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6" w:name="_Toc120540035"/>
      <w:r>
        <w:rPr>
          <w:rFonts w:ascii="Times New Roman" w:eastAsia="DengXian Light" w:hAnsi="Times New Roman" w:cs="Times New Roman"/>
          <w:sz w:val="24"/>
          <w:szCs w:val="24"/>
          <w:lang w:eastAsia="en-US"/>
        </w:rPr>
        <w:t>Fungsi Saliva</w:t>
      </w:r>
      <w:bookmarkEnd w:id="16"/>
      <w:r>
        <w:rPr>
          <w:rFonts w:ascii="Times New Roman" w:eastAsia="DengXian Light" w:hAnsi="Times New Roman" w:cs="Times New Roman"/>
          <w:sz w:val="24"/>
          <w:szCs w:val="24"/>
          <w:lang w:eastAsia="en-US"/>
        </w:rPr>
        <w:t xml:space="preserve"> </w:t>
      </w:r>
    </w:p>
    <w:p w14:paraId="4A9865BA"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5383793F" w14:textId="77777777" w:rsidR="00070DD1" w:rsidRDefault="00000000">
      <w:pPr>
        <w:spacing w:before="240" w:after="120" w:line="480" w:lineRule="auto"/>
        <w:ind w:left="810" w:firstLine="36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Saliva tidak hanya berfungsi membantu pada pengunyahan, tetapi juga mempunyai aksi pelindung yaitu menjaga Kesehatan gigi dan mulut. Saliva melindungi jaringan didalam rongga mulut melalui pembersihan mekanisme, melapisin setiap jaringan didaam rongga mulut, pengaruh dapar dan aktivitas antibakteri. Menurut Sherwood (2001) , saliva memiliki beberapa fungsi : </w:t>
      </w:r>
    </w:p>
    <w:p w14:paraId="75CF3635" w14:textId="77777777" w:rsidR="00070DD1" w:rsidRDefault="00000000">
      <w:pPr>
        <w:numPr>
          <w:ilvl w:val="0"/>
          <w:numId w:val="7"/>
        </w:numPr>
        <w:spacing w:before="240" w:after="120" w:line="480" w:lineRule="auto"/>
        <w:ind w:left="11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Mempermudah proses penelanan dan membasahi partake-lpartikel makanan sehingga menghasilkan pelumas yaitu mucus yang kental.</w:t>
      </w:r>
    </w:p>
    <w:p w14:paraId="295F84AB" w14:textId="77777777" w:rsidR="00070DD1" w:rsidRDefault="00000000">
      <w:pPr>
        <w:numPr>
          <w:ilvl w:val="0"/>
          <w:numId w:val="7"/>
        </w:numPr>
        <w:spacing w:before="240" w:after="120" w:line="480" w:lineRule="auto"/>
        <w:ind w:left="11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Membantu dalam proses berbicara dengan mempermudah gerakan lidah dan bibir.</w:t>
      </w:r>
    </w:p>
    <w:p w14:paraId="50715FDF" w14:textId="77777777" w:rsidR="00070DD1" w:rsidRDefault="00000000">
      <w:pPr>
        <w:numPr>
          <w:ilvl w:val="0"/>
          <w:numId w:val="7"/>
        </w:numPr>
        <w:spacing w:before="240" w:after="120" w:line="480" w:lineRule="auto"/>
        <w:ind w:left="11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Membantu dalam menjaga kebersihan mulut dan gigi. Aliran saliva yang terus menerus mengalir dapat membantu membersihkan sisa-sisa makanan dan melepaskan sel epitel serta benda asing di rongga mulut.</w:t>
      </w:r>
    </w:p>
    <w:p w14:paraId="2877E05B" w14:textId="77777777" w:rsidR="00070DD1" w:rsidRDefault="00000000">
      <w:pPr>
        <w:numPr>
          <w:ilvl w:val="0"/>
          <w:numId w:val="7"/>
        </w:numPr>
        <w:spacing w:before="240" w:after="120" w:line="480" w:lineRule="auto"/>
        <w:ind w:left="110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Bikarbonat dalam saliva berfungsi untuk menetralkan asam makanan serta asam yang dihasilkan oleh bakteri di rongga mulut.</w:t>
      </w:r>
    </w:p>
    <w:p w14:paraId="19E6BD95"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7" w:name="_Toc120540036"/>
      <w:r>
        <w:rPr>
          <w:rFonts w:ascii="Times New Roman" w:eastAsia="DengXian Light" w:hAnsi="Times New Roman" w:cs="Times New Roman"/>
          <w:sz w:val="24"/>
          <w:szCs w:val="24"/>
          <w:lang w:eastAsia="en-US"/>
        </w:rPr>
        <w:t>Kelenjar Saliva</w:t>
      </w:r>
      <w:bookmarkEnd w:id="17"/>
    </w:p>
    <w:p w14:paraId="4403AB49"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5BCEE529" w14:textId="77777777" w:rsidR="00070DD1" w:rsidRDefault="00000000">
      <w:pPr>
        <w:spacing w:before="240" w:after="120"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Secara umum produksi saliva  terdapat pada tiga pasang kelenjar utama, yaitu kelenjar sublingual, submandibula dan kelenjar parotis  semua ini terletak di luar rongga mulut dan menyalurkan saliva melalui duktus pendek ke dalam rongga mulut. Kelenjar- kelenjar ini berada pada setiap regio di dalam rongga mulut, kecuali gusi dan di bagian depan palatum durum (Almeida,20014)</w:t>
      </w:r>
    </w:p>
    <w:p w14:paraId="2B3A4756" w14:textId="77777777" w:rsidR="00070DD1" w:rsidRDefault="00000000">
      <w:pPr>
        <w:spacing w:before="240" w:after="120"/>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Tabel 2.1 . Kelenjar saliva beserta tempat dan duktusnya</w:t>
      </w:r>
    </w:p>
    <w:tbl>
      <w:tblPr>
        <w:tblStyle w:val="PlainTable21"/>
        <w:tblW w:w="7110" w:type="dxa"/>
        <w:tblInd w:w="810" w:type="dxa"/>
        <w:tblCellMar>
          <w:top w:w="0" w:type="dxa"/>
          <w:left w:w="108" w:type="dxa"/>
          <w:bottom w:w="0" w:type="dxa"/>
          <w:right w:w="108" w:type="dxa"/>
        </w:tblCellMar>
        <w:tblLook w:val="04A0" w:firstRow="1" w:lastRow="0" w:firstColumn="1" w:lastColumn="0" w:noHBand="0" w:noVBand="1"/>
      </w:tblPr>
      <w:tblGrid>
        <w:gridCol w:w="1890"/>
        <w:gridCol w:w="2956"/>
        <w:gridCol w:w="2264"/>
      </w:tblGrid>
      <w:tr w:rsidR="00070DD1" w14:paraId="7172EC6A" w14:textId="77777777" w:rsidTr="00070DD1">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tcPr>
          <w:p w14:paraId="75CF883A" w14:textId="77777777" w:rsidR="00070DD1" w:rsidRDefault="00000000">
            <w:pPr>
              <w:spacing w:before="240" w:after="120"/>
              <w:contextualSpacing/>
              <w:jc w:val="both"/>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Kelejar</w:t>
            </w:r>
          </w:p>
        </w:tc>
        <w:tc>
          <w:tcPr>
            <w:tcW w:w="2956" w:type="dxa"/>
          </w:tcPr>
          <w:p w14:paraId="35AA1F0B" w14:textId="77777777" w:rsidR="00070DD1" w:rsidRDefault="00000000">
            <w:pPr>
              <w:spacing w:before="240" w:after="120"/>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Lokasi / Tempat</w:t>
            </w:r>
          </w:p>
        </w:tc>
        <w:tc>
          <w:tcPr>
            <w:tcW w:w="2264" w:type="dxa"/>
          </w:tcPr>
          <w:p w14:paraId="5A75BA24" w14:textId="77777777" w:rsidR="00070DD1" w:rsidRDefault="00000000">
            <w:pPr>
              <w:spacing w:before="240" w:after="120"/>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Duktus</w:t>
            </w:r>
          </w:p>
        </w:tc>
      </w:tr>
      <w:tr w:rsidR="00070DD1" w14:paraId="7ADA95DD" w14:textId="77777777" w:rsidTr="00070DD1">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7E7E7E"/>
              <w:bottom w:val="single" w:sz="4" w:space="0" w:color="7E7E7E"/>
            </w:tcBorders>
          </w:tcPr>
          <w:p w14:paraId="60E48994" w14:textId="77777777" w:rsidR="00070DD1" w:rsidRDefault="00000000">
            <w:pPr>
              <w:spacing w:before="240" w:after="120" w:line="360" w:lineRule="auto"/>
              <w:contextualSpacing/>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Parotis</w:t>
            </w:r>
          </w:p>
        </w:tc>
        <w:tc>
          <w:tcPr>
            <w:tcW w:w="2956" w:type="dxa"/>
            <w:tcBorders>
              <w:top w:val="single" w:sz="4" w:space="0" w:color="7E7E7E"/>
              <w:bottom w:val="single" w:sz="4" w:space="0" w:color="7E7E7E"/>
            </w:tcBorders>
          </w:tcPr>
          <w:p w14:paraId="3A7EE256" w14:textId="77777777" w:rsidR="00070DD1" w:rsidRDefault="00000000">
            <w:pPr>
              <w:spacing w:before="240" w:after="12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Inferior dan anterior dari telingan, serta diantara kulit  dan oto masseter</w:t>
            </w:r>
          </w:p>
        </w:tc>
        <w:tc>
          <w:tcPr>
            <w:tcW w:w="2264" w:type="dxa"/>
            <w:tcBorders>
              <w:top w:val="single" w:sz="4" w:space="0" w:color="7E7E7E"/>
              <w:bottom w:val="single" w:sz="4" w:space="0" w:color="7E7E7E"/>
            </w:tcBorders>
          </w:tcPr>
          <w:p w14:paraId="30BDC27A" w14:textId="77777777" w:rsidR="00070DD1" w:rsidRDefault="00000000">
            <w:pPr>
              <w:spacing w:before="240" w:after="12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Duktus Parotis</w:t>
            </w:r>
          </w:p>
        </w:tc>
      </w:tr>
      <w:tr w:rsidR="00070DD1" w14:paraId="030873F6" w14:textId="77777777" w:rsidTr="00070DD1">
        <w:tc>
          <w:tcPr>
            <w:cnfStyle w:val="001000000000" w:firstRow="0" w:lastRow="0" w:firstColumn="1" w:lastColumn="0" w:oddVBand="0" w:evenVBand="0" w:oddHBand="0" w:evenHBand="0" w:firstRowFirstColumn="0" w:firstRowLastColumn="0" w:lastRowFirstColumn="0" w:lastRowLastColumn="0"/>
            <w:tcW w:w="1890" w:type="dxa"/>
          </w:tcPr>
          <w:p w14:paraId="2EB42D6E" w14:textId="77777777" w:rsidR="00070DD1" w:rsidRDefault="00000000">
            <w:pPr>
              <w:spacing w:before="240" w:after="120" w:line="360" w:lineRule="auto"/>
              <w:contextualSpacing/>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Submandibula</w:t>
            </w:r>
          </w:p>
        </w:tc>
        <w:tc>
          <w:tcPr>
            <w:tcW w:w="2956" w:type="dxa"/>
          </w:tcPr>
          <w:p w14:paraId="513FAF66" w14:textId="77777777" w:rsidR="00070DD1" w:rsidRDefault="00000000">
            <w:pPr>
              <w:spacing w:before="240" w:after="12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Dasar Mulut, dibagian tengah dan sedikit inferior dari mandibula</w:t>
            </w:r>
          </w:p>
        </w:tc>
        <w:tc>
          <w:tcPr>
            <w:tcW w:w="2264" w:type="dxa"/>
          </w:tcPr>
          <w:p w14:paraId="1338BF1D" w14:textId="77777777" w:rsidR="00070DD1" w:rsidRDefault="00000000">
            <w:pPr>
              <w:spacing w:before="240" w:after="12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Duktus Submandibula</w:t>
            </w:r>
          </w:p>
        </w:tc>
      </w:tr>
      <w:tr w:rsidR="00070DD1" w14:paraId="03A957FE" w14:textId="77777777" w:rsidTr="00070DD1">
        <w:trPr>
          <w:trHeight w:val="809"/>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7E7E7E"/>
              <w:bottom w:val="single" w:sz="4" w:space="0" w:color="7E7E7E"/>
            </w:tcBorders>
          </w:tcPr>
          <w:p w14:paraId="76554F39" w14:textId="77777777" w:rsidR="00070DD1" w:rsidRDefault="00000000">
            <w:pPr>
              <w:spacing w:before="240" w:after="12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Sublingual</w:t>
            </w:r>
          </w:p>
          <w:p w14:paraId="41CD3A04" w14:textId="77777777" w:rsidR="00070DD1" w:rsidRDefault="00070DD1">
            <w:pPr>
              <w:rPr>
                <w:rFonts w:ascii="Times New Roman" w:eastAsia="Calibri" w:hAnsi="Times New Roman" w:cs="Times New Roman"/>
                <w:sz w:val="24"/>
                <w:szCs w:val="24"/>
                <w:lang w:eastAsia="en-US"/>
              </w:rPr>
            </w:pPr>
          </w:p>
          <w:p w14:paraId="7937830B" w14:textId="77777777" w:rsidR="00070DD1" w:rsidRDefault="00070DD1">
            <w:pPr>
              <w:rPr>
                <w:rFonts w:ascii="Calibri" w:eastAsia="Calibri" w:hAnsi="Calibri" w:cs="Times New Roman"/>
                <w:b w:val="0"/>
                <w:bCs w:val="0"/>
                <w:sz w:val="22"/>
                <w:szCs w:val="22"/>
                <w:lang w:eastAsia="en-US"/>
              </w:rPr>
            </w:pPr>
          </w:p>
        </w:tc>
        <w:tc>
          <w:tcPr>
            <w:tcW w:w="2956" w:type="dxa"/>
            <w:tcBorders>
              <w:top w:val="single" w:sz="4" w:space="0" w:color="7E7E7E"/>
              <w:bottom w:val="single" w:sz="4" w:space="0" w:color="7E7E7E"/>
            </w:tcBorders>
          </w:tcPr>
          <w:p w14:paraId="61AB23CC" w14:textId="77777777" w:rsidR="00070DD1" w:rsidRDefault="00000000">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Di Lidah dan superior dari kelenjar submandibular</w:t>
            </w:r>
          </w:p>
        </w:tc>
        <w:tc>
          <w:tcPr>
            <w:tcW w:w="2264" w:type="dxa"/>
            <w:tcBorders>
              <w:top w:val="single" w:sz="4" w:space="0" w:color="7E7E7E"/>
              <w:bottom w:val="single" w:sz="4" w:space="0" w:color="7E7E7E"/>
            </w:tcBorders>
          </w:tcPr>
          <w:p w14:paraId="7D892B0A" w14:textId="77777777" w:rsidR="00070DD1" w:rsidRDefault="00000000">
            <w:pPr>
              <w:spacing w:before="24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Duktus Lesser Sublingual</w:t>
            </w:r>
          </w:p>
          <w:p w14:paraId="124507FC" w14:textId="77777777" w:rsidR="00070DD1" w:rsidRDefault="00070DD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eastAsia="en-US"/>
              </w:rPr>
            </w:pPr>
          </w:p>
          <w:p w14:paraId="7D501101" w14:textId="77777777" w:rsidR="00070DD1" w:rsidRDefault="00070DD1">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2"/>
                <w:szCs w:val="22"/>
                <w:lang w:eastAsia="en-US"/>
              </w:rPr>
            </w:pPr>
          </w:p>
        </w:tc>
      </w:tr>
    </w:tbl>
    <w:p w14:paraId="12A14BDF" w14:textId="77777777" w:rsidR="00070DD1" w:rsidRDefault="00000000">
      <w:pPr>
        <w:jc w:val="both"/>
        <w:rPr>
          <w:rFonts w:ascii="Times New Roman" w:eastAsia="Calibri" w:hAnsi="Times New Roman" w:cs="Times New Roman"/>
          <w:sz w:val="24"/>
          <w:szCs w:val="24"/>
          <w:lang w:eastAsia="en-US"/>
        </w:rPr>
      </w:pPr>
      <w:r>
        <w:rPr>
          <w:rFonts w:ascii="Times New Roman" w:eastAsia="Calibri" w:hAnsi="Times New Roman" w:cs="Times New Roman"/>
          <w:b/>
          <w:bCs/>
          <w:sz w:val="24"/>
          <w:szCs w:val="24"/>
          <w:lang w:eastAsia="en-US"/>
        </w:rPr>
        <w:tab/>
        <w:t xml:space="preserve">    </w:t>
      </w:r>
      <w:r>
        <w:rPr>
          <w:rFonts w:ascii="Times New Roman" w:eastAsia="Calibri" w:hAnsi="Times New Roman" w:cs="Times New Roman"/>
          <w:sz w:val="24"/>
          <w:szCs w:val="24"/>
          <w:lang w:eastAsia="en-US"/>
        </w:rPr>
        <w:t>Sumber : Tortora, 2013</w:t>
      </w:r>
    </w:p>
    <w:p w14:paraId="50E85E03" w14:textId="77777777" w:rsidR="00070DD1" w:rsidRDefault="00000000">
      <w:pPr>
        <w:spacing w:before="100" w:beforeAutospacing="1" w:after="100" w:afterAutospacing="1" w:line="360" w:lineRule="auto"/>
        <w:ind w:left="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Menurut Feneis &amp; Dauber tahun 2012, Sebagian besar saliva disekresikan oleh kelenjar saliva mayor yang terdiri dari 3 kelenjar yaitu :</w:t>
      </w:r>
    </w:p>
    <w:p w14:paraId="7D6B752C" w14:textId="77777777" w:rsidR="00070DD1" w:rsidRDefault="00000000">
      <w:pPr>
        <w:numPr>
          <w:ilvl w:val="0"/>
          <w:numId w:val="8"/>
        </w:numPr>
        <w:spacing w:before="100" w:beforeAutospacing="1" w:after="100" w:afterAutospacing="1" w:line="360" w:lineRule="auto"/>
        <w:ind w:left="117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Kelenjar Parotis </w:t>
      </w:r>
    </w:p>
    <w:p w14:paraId="1E7B2241" w14:textId="77777777" w:rsidR="00070DD1" w:rsidRDefault="00000000">
      <w:pPr>
        <w:spacing w:before="100" w:beforeAutospacing="1" w:after="100" w:afterAutospacing="1" w:line="480" w:lineRule="auto"/>
        <w:ind w:left="117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Merupakan kelenjar saliva terbesar yang terletak diantara mastoid dan m.sternocleidomastoid. Kelenjar parotis terdiri dari dua bagian, yaitu pars superfacial dan pars profunda. Terdapat beberapa hal yang melewati kelenjar parotis, yaitu saraf facialis, vena retromandibular, arteri karotis eksterna. Keluarnya saliva dari kelenjar ini melalui duktus parotis (Stensen) yang berasal dari bagian anterior kelenjar parotis.</w:t>
      </w:r>
    </w:p>
    <w:p w14:paraId="74DDE875" w14:textId="77777777" w:rsidR="00070DD1" w:rsidRDefault="00000000">
      <w:pPr>
        <w:numPr>
          <w:ilvl w:val="0"/>
          <w:numId w:val="8"/>
        </w:numPr>
        <w:spacing w:before="100" w:beforeAutospacing="1" w:after="100" w:afterAutospacing="1" w:line="480" w:lineRule="auto"/>
        <w:ind w:left="117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Kelenjar Submandibula</w:t>
      </w:r>
    </w:p>
    <w:p w14:paraId="002BD056" w14:textId="77777777" w:rsidR="00070DD1" w:rsidRDefault="00000000">
      <w:pPr>
        <w:spacing w:before="100" w:beforeAutospacing="1" w:after="100" w:afterAutospacing="1" w:line="480" w:lineRule="auto"/>
        <w:ind w:left="1170"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Merupakan kelenjar saliva yang terletak di hampir seluruhnya di bawah mylohyoid. Duktus yang mengalirkan saliva keluar dari kelenjar ini yaitu kelenjar submandibular (Wharton,2012).</w:t>
      </w:r>
    </w:p>
    <w:p w14:paraId="2BE42239" w14:textId="77777777" w:rsidR="00070DD1" w:rsidRDefault="00000000">
      <w:pPr>
        <w:numPr>
          <w:ilvl w:val="0"/>
          <w:numId w:val="8"/>
        </w:numPr>
        <w:spacing w:before="100" w:beforeAutospacing="1" w:after="100" w:afterAutospacing="1" w:line="480" w:lineRule="auto"/>
        <w:ind w:left="117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Kelenjar Sublingual</w:t>
      </w:r>
    </w:p>
    <w:p w14:paraId="6A01BA46" w14:textId="77777777" w:rsidR="00070DD1" w:rsidRDefault="00000000">
      <w:pPr>
        <w:spacing w:before="100" w:beforeAutospacing="1" w:after="100" w:afterAutospacing="1" w:line="480" w:lineRule="auto"/>
        <w:ind w:left="1170" w:firstLine="72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Merupakan kelenjar saliva dengan tipe saliva yang disekresikannya yaitu mukus. Kelenjar sublingual berada di bawah dari dasar mulut dan berada di depan dari pars profunda kelenjar submandibular. Kelenjar ini memiliki beberapa ductus drainase, yaitu duktus sublingual mayor sebagai yang utama dan duktus sublingual minor yang terdiri dari sekitar 40 duktus kecil. Kelenjar saliva beserta jenis histologik, sekresi dan presentase total saliva.</w:t>
      </w:r>
    </w:p>
    <w:p w14:paraId="5F54084A" w14:textId="77777777" w:rsidR="00070DD1" w:rsidRDefault="00000000" w:rsidP="00BB1D6C">
      <w:pPr>
        <w:spacing w:before="100" w:beforeAutospacing="1" w:after="100" w:afterAutospacing="1"/>
        <w:ind w:left="720" w:firstLine="720"/>
        <w:contextualSpacing/>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bdr w:val="single" w:sz="4" w:space="0" w:color="auto"/>
          <w:lang w:eastAsia="en-US"/>
        </w:rPr>
        <w:lastRenderedPageBreak/>
        <w:drawing>
          <wp:inline distT="0" distB="0" distL="0" distR="0" wp14:anchorId="019E9DD9" wp14:editId="603A7F56">
            <wp:extent cx="3293745" cy="2213511"/>
            <wp:effectExtent l="19050" t="19050" r="2095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327714" cy="2236340"/>
                    </a:xfrm>
                    <a:prstGeom prst="rect">
                      <a:avLst/>
                    </a:prstGeom>
                    <a:noFill/>
                    <a:ln w="3175">
                      <a:solidFill>
                        <a:schemeClr val="tx1"/>
                      </a:solidFill>
                    </a:ln>
                  </pic:spPr>
                </pic:pic>
              </a:graphicData>
            </a:graphic>
          </wp:inline>
        </w:drawing>
      </w:r>
    </w:p>
    <w:p w14:paraId="35CED833" w14:textId="77777777" w:rsidR="00070DD1" w:rsidRDefault="00000000">
      <w:pPr>
        <w:spacing w:before="100" w:beforeAutospacing="1" w:after="100" w:afterAutospacing="1"/>
        <w:ind w:left="720" w:firstLine="720"/>
        <w:contextualSpacing/>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Gambar 2.1 Anatomi Kelenjar Saliva </w:t>
      </w:r>
    </w:p>
    <w:p w14:paraId="5B48E3C8" w14:textId="77777777" w:rsidR="00070DD1" w:rsidRDefault="00000000">
      <w:pPr>
        <w:spacing w:before="100" w:beforeAutospacing="1" w:after="100" w:afterAutospacing="1" w:line="480" w:lineRule="auto"/>
        <w:ind w:left="720" w:firstLine="720"/>
        <w:contextualSpacing/>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Sumber : Tortora, 2011</w:t>
      </w:r>
    </w:p>
    <w:p w14:paraId="165765E5"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8" w:name="_Toc120540037"/>
      <w:r>
        <w:rPr>
          <w:rFonts w:ascii="Times New Roman" w:eastAsia="DengXian Light" w:hAnsi="Times New Roman" w:cs="Times New Roman"/>
          <w:sz w:val="24"/>
          <w:szCs w:val="24"/>
          <w:lang w:eastAsia="en-US"/>
        </w:rPr>
        <w:t xml:space="preserve">Pengaturan </w:t>
      </w:r>
      <w:r>
        <w:rPr>
          <w:rFonts w:ascii="Times New Roman" w:eastAsia="DengXian Light" w:hAnsi="Times New Roman" w:cs="Times New Roman"/>
          <w:i/>
          <w:iCs/>
          <w:sz w:val="24"/>
          <w:szCs w:val="24"/>
          <w:lang w:eastAsia="en-US"/>
        </w:rPr>
        <w:t xml:space="preserve">pH </w:t>
      </w:r>
      <w:r>
        <w:rPr>
          <w:rFonts w:ascii="Times New Roman" w:eastAsia="DengXian Light" w:hAnsi="Times New Roman" w:cs="Times New Roman"/>
          <w:sz w:val="24"/>
          <w:szCs w:val="24"/>
          <w:lang w:eastAsia="en-US"/>
        </w:rPr>
        <w:t>Saliva</w:t>
      </w:r>
      <w:bookmarkEnd w:id="18"/>
    </w:p>
    <w:p w14:paraId="31ECCDCC"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649FC926"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Saliva memiliki kemampuan dalam pengaturan derajat keasaman, yang berperan penting dalam menjaga nilai</w:t>
      </w:r>
      <w:r>
        <w:rPr>
          <w:rFonts w:ascii="Times New Roman" w:eastAsia="Calibri" w:hAnsi="Times New Roman" w:cs="Times New Roman"/>
          <w:i/>
          <w:iCs/>
          <w:sz w:val="24"/>
          <w:szCs w:val="24"/>
          <w:lang w:eastAsia="en-US"/>
        </w:rPr>
        <w:t xml:space="preserve"> pH</w:t>
      </w:r>
      <w:r>
        <w:rPr>
          <w:rFonts w:ascii="Times New Roman" w:eastAsia="Calibri" w:hAnsi="Times New Roman" w:cs="Times New Roman"/>
          <w:sz w:val="24"/>
          <w:szCs w:val="24"/>
          <w:lang w:eastAsia="en-US"/>
        </w:rPr>
        <w:t xml:space="preserve"> di lingkungan rongga mulut seseorang. Pengaturan keasaman saliva terdiri dari beberapa hal yaitu sistem protein, bikarbonat, dan fosfat. Konsentrasi bikarbonat di dalam saliva dan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sangat dipengaruhi oleh kadar laju salivasi. Konsentrasi bikarbonat didalam saliva dan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akan meningkat jika kadar laju salivasi meningkat dan begitu juga sebaliknya. Hal tersebut terbukti pada hasil penelitian yang dilakukan oleh Kanwar dkk tahun 2013 yang menunjukkan bahwa ketika kadar laju saliva menurun maka pH saliva akan menjadi lebih asam.</w:t>
      </w:r>
    </w:p>
    <w:p w14:paraId="60F49FED"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Kadar bikarbonat itu sendiri paling tinggi di saliva yang dihasilkan oleh kelenjar parotid dan paling rendah pada saliva yang dihasilkan oleh kelenjar saliva kecil. Dalam keadaan tidak terstimulasi, bikarbonat dan fosfat berperan dalam pengaturan keasaaman saliva. Sedangkan dalam </w:t>
      </w:r>
      <w:r>
        <w:rPr>
          <w:rFonts w:ascii="Times New Roman" w:eastAsia="Calibri" w:hAnsi="Times New Roman" w:cs="Times New Roman"/>
          <w:sz w:val="24"/>
          <w:szCs w:val="24"/>
          <w:lang w:eastAsia="en-US"/>
        </w:rPr>
        <w:lastRenderedPageBreak/>
        <w:t xml:space="preserve">keadaan terstimulasi, bikarbonat memiliki peran hampir 90% dalam pengaturan derajat keasamaan saliva. Sedangkan dalam keadaan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yang sangat rendah atau dibawah 5, peran utama dalam pengaturan keasamaan saliva yaitu protein dan derivatnya (Almeida PDVd dkk, 2014).</w:t>
      </w:r>
    </w:p>
    <w:p w14:paraId="23A8413C"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Jadi dalam menjaga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tetap normal dan mengatur proses remineralisasi gigi, kapasitas dapar memiliki peran yang sangat penting dalam hak tertentu. Banyak faktor yang dapat mempengaruhi pengaturan derajat keasaman  di saliva, diantaranya jenis kelamin, status merokok, dan konsumsi alkohol. Dimana Wanita memiliki pengaturan derajat keasaman yang lebih rendah dibandingkan dengan pria. Makanan dan minuman juga dapat membuat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rongga mulut menjadi asam (Palomares CF, 2013).</w:t>
      </w:r>
    </w:p>
    <w:p w14:paraId="08DB5120"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Saliva memiliki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pada kisaran 6.5-7.4 yang memperlancar kerja enzim pencernaan seperti ptialin, selain itu saliva mengandung </w:t>
      </w:r>
      <w:r>
        <w:rPr>
          <w:rFonts w:ascii="Times New Roman" w:eastAsia="Calibri" w:hAnsi="Times New Roman" w:cs="Times New Roman"/>
          <w:i/>
          <w:iCs/>
          <w:sz w:val="24"/>
          <w:szCs w:val="24"/>
          <w:lang w:eastAsia="en-US"/>
        </w:rPr>
        <w:t>immunoglobulin</w:t>
      </w:r>
      <w:r>
        <w:rPr>
          <w:rFonts w:ascii="Times New Roman" w:eastAsia="Calibri" w:hAnsi="Times New Roman" w:cs="Times New Roman"/>
          <w:sz w:val="24"/>
          <w:szCs w:val="24"/>
          <w:lang w:eastAsia="en-US"/>
        </w:rPr>
        <w:t xml:space="preserve"> (</w:t>
      </w:r>
      <w:r>
        <w:rPr>
          <w:rFonts w:ascii="Times New Roman" w:eastAsia="Calibri" w:hAnsi="Times New Roman" w:cs="Times New Roman"/>
          <w:i/>
          <w:iCs/>
          <w:sz w:val="24"/>
          <w:szCs w:val="24"/>
          <w:lang w:eastAsia="en-US"/>
        </w:rPr>
        <w:t>Ig</w:t>
      </w:r>
      <w:r>
        <w:rPr>
          <w:rFonts w:ascii="Times New Roman" w:eastAsia="Calibri" w:hAnsi="Times New Roman" w:cs="Times New Roman"/>
          <w:sz w:val="24"/>
          <w:szCs w:val="24"/>
          <w:lang w:eastAsia="en-US"/>
        </w:rPr>
        <w:t xml:space="preserve">)A yang bekerja sebagai respon imun humoral pada mukosa rongga mulut dihasilkan oleh sel B yang berfungsi untuk mencegah perlengketan bakteri ataupun virus ke rongga mulut, ketika seseorang terpapar asap rokok secara aktif, akan menurunkan antibodi yang terkandung pada saliva tersebut, sehingga berdampak terhadap turunnya kemampuan saliva sebagai pertahanan rongga mulut, sehingga, bakteri </w:t>
      </w:r>
      <w:r>
        <w:rPr>
          <w:rFonts w:ascii="Times New Roman" w:eastAsia="Calibri" w:hAnsi="Times New Roman" w:cs="Times New Roman"/>
          <w:i/>
          <w:iCs/>
          <w:sz w:val="24"/>
          <w:szCs w:val="24"/>
          <w:lang w:eastAsia="en-US"/>
        </w:rPr>
        <w:t>anaerob</w:t>
      </w:r>
      <w:r>
        <w:rPr>
          <w:rFonts w:ascii="Times New Roman" w:eastAsia="Calibri" w:hAnsi="Times New Roman" w:cs="Times New Roman"/>
          <w:sz w:val="24"/>
          <w:szCs w:val="24"/>
          <w:lang w:eastAsia="en-US"/>
        </w:rPr>
        <w:t xml:space="preserve"> mudah berkembang pada mukosa mulut dan </w:t>
      </w:r>
      <w:r>
        <w:rPr>
          <w:rFonts w:ascii="Times New Roman" w:eastAsia="Calibri" w:hAnsi="Times New Roman" w:cs="Times New Roman"/>
          <w:sz w:val="24"/>
          <w:szCs w:val="24"/>
          <w:lang w:eastAsia="en-US"/>
        </w:rPr>
        <w:lastRenderedPageBreak/>
        <w:t>mengakibatkan rongga mulut mudah terinfeksi (Kinane DF, Radvar M, 2014).</w:t>
      </w:r>
    </w:p>
    <w:p w14:paraId="60C3E02F"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Saliva disekresikan dengan kecepatan laju aliran saliva 20 ml/jam pada saat istirahat, hal-hal yang menyebabkan perubahan pada kecepatan laju aliran saliva salah satunya adalah paparan asap rokok terhadap kelenjar saliva. Perubahan laju aliran saliva pada perokok akan mengalami penurunan sehingga mempengaruhi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pada perokok, penurunan laju inilah yang menyebabkan turunnya bikarbonat yang ada pada saliva sebagai kapasitas buffer, dalam suasana lingkungan rongga mulut yang asam sesuai dengan tempat berkembangnya bakteri asidofilik yang berujung pada infeksi (Pejcic A dkk, 2017)</w:t>
      </w:r>
    </w:p>
    <w:p w14:paraId="557C67AE" w14:textId="77777777" w:rsidR="00070DD1" w:rsidRDefault="00000000">
      <w:pPr>
        <w:spacing w:before="24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Penurunan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asam pada saliva sangat mempengaruhi stabilitas saliva dalam melindungi mukosa mulut sehingga perlengketan bakteri pada mukosa rongga mulut akan mudah terjadi. Perlengketan bakteri pada mukosa ini akan memudahkan terjadinya infeksi yang bisa menimbulkan berbagai penyakit pada rongga mulut yaitu periodontal </w:t>
      </w:r>
      <w:r>
        <w:rPr>
          <w:rFonts w:ascii="Times New Roman" w:eastAsia="Calibri" w:hAnsi="Times New Roman" w:cs="Times New Roman"/>
          <w:i/>
          <w:iCs/>
          <w:sz w:val="24"/>
          <w:szCs w:val="24"/>
          <w:lang w:eastAsia="en-US"/>
        </w:rPr>
        <w:t>disease</w:t>
      </w:r>
      <w:r>
        <w:rPr>
          <w:rFonts w:ascii="Times New Roman" w:eastAsia="Calibri" w:hAnsi="Times New Roman" w:cs="Times New Roman"/>
          <w:sz w:val="24"/>
          <w:szCs w:val="24"/>
          <w:lang w:eastAsia="en-US"/>
        </w:rPr>
        <w:t>, radang gusi, serta munculnya lesi khas pada mukosa rongga mulut. (Aditama TY, 2015)</w:t>
      </w:r>
    </w:p>
    <w:p w14:paraId="20A25AAD"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19" w:name="_Toc120540038"/>
      <w:r>
        <w:rPr>
          <w:rFonts w:ascii="Times New Roman" w:eastAsia="DengXian Light" w:hAnsi="Times New Roman" w:cs="Times New Roman"/>
          <w:sz w:val="24"/>
          <w:szCs w:val="24"/>
          <w:lang w:eastAsia="en-US"/>
        </w:rPr>
        <w:t>Metode Pengambilan Saliva</w:t>
      </w:r>
      <w:bookmarkEnd w:id="19"/>
    </w:p>
    <w:p w14:paraId="0F7D57DF"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56A0C241" w14:textId="77777777" w:rsidR="00070DD1" w:rsidRDefault="00000000">
      <w:pPr>
        <w:spacing w:before="240" w:beforeAutospacing="1" w:after="100" w:afterAutospacing="1" w:line="480" w:lineRule="auto"/>
        <w:ind w:left="81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Adapun beberapa metode pengumpulan saliva adalah sebagai berikut : </w:t>
      </w:r>
    </w:p>
    <w:p w14:paraId="704912F3" w14:textId="77777777" w:rsidR="00070DD1" w:rsidRDefault="00000000">
      <w:pPr>
        <w:numPr>
          <w:ilvl w:val="0"/>
          <w:numId w:val="9"/>
        </w:numPr>
        <w:spacing w:before="240" w:beforeAutospacing="1" w:after="100" w:afterAutospacing="1"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Draining Method Saliva</w:t>
      </w:r>
      <w:r>
        <w:rPr>
          <w:rFonts w:ascii="Times New Roman" w:eastAsia="Calibri" w:hAnsi="Times New Roman" w:cs="Times New Roman"/>
          <w:sz w:val="24"/>
          <w:szCs w:val="24"/>
          <w:lang w:eastAsia="en-US"/>
        </w:rPr>
        <w:t xml:space="preserve"> dibiarkan menetes melalui bibir bawah kedalam pot saliva. Subjek diinstruksikan untuk meludah pada akhir durasi pengumpulan. </w:t>
      </w:r>
    </w:p>
    <w:p w14:paraId="3E68DE3A" w14:textId="77777777" w:rsidR="00070DD1" w:rsidRDefault="00000000">
      <w:pPr>
        <w:numPr>
          <w:ilvl w:val="0"/>
          <w:numId w:val="9"/>
        </w:numPr>
        <w:spacing w:before="240" w:beforeAutospacing="1" w:after="100" w:afterAutospacing="1"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lastRenderedPageBreak/>
        <w:t>Spitting Method Saliva</w:t>
      </w:r>
      <w:r>
        <w:rPr>
          <w:rFonts w:ascii="Times New Roman" w:eastAsia="Calibri" w:hAnsi="Times New Roman" w:cs="Times New Roman"/>
          <w:sz w:val="24"/>
          <w:szCs w:val="24"/>
          <w:lang w:eastAsia="en-US"/>
        </w:rPr>
        <w:t xml:space="preserve"> dibiarkan mengumpul didasar mulut, kemudian subjek meludah kepot saliva setiap 60 detik atau pada saat subjek akan menelan saliva yang tekumpul di mulut. </w:t>
      </w:r>
    </w:p>
    <w:p w14:paraId="58222AEA" w14:textId="77777777" w:rsidR="00070DD1" w:rsidRDefault="00000000">
      <w:pPr>
        <w:numPr>
          <w:ilvl w:val="0"/>
          <w:numId w:val="9"/>
        </w:numPr>
        <w:spacing w:before="240" w:beforeAutospacing="1" w:after="100" w:afterAutospacing="1"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Suction Method Saliva</w:t>
      </w:r>
      <w:r>
        <w:rPr>
          <w:rFonts w:ascii="Times New Roman" w:eastAsia="Calibri" w:hAnsi="Times New Roman" w:cs="Times New Roman"/>
          <w:sz w:val="24"/>
          <w:szCs w:val="24"/>
          <w:lang w:eastAsia="en-US"/>
        </w:rPr>
        <w:t xml:space="preserve"> diaspirasi dari dasar mulut ke pot saliva melului saliva ejector/ aspirator. </w:t>
      </w:r>
    </w:p>
    <w:p w14:paraId="31D536AA" w14:textId="77777777" w:rsidR="00070DD1" w:rsidRDefault="00000000">
      <w:pPr>
        <w:numPr>
          <w:ilvl w:val="0"/>
          <w:numId w:val="9"/>
        </w:numPr>
        <w:spacing w:before="240" w:beforeAutospacing="1" w:after="100" w:afterAutospacing="1"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Absorbent Saliva</w:t>
      </w:r>
      <w:r>
        <w:rPr>
          <w:rFonts w:ascii="Times New Roman" w:eastAsia="Calibri" w:hAnsi="Times New Roman" w:cs="Times New Roman"/>
          <w:sz w:val="24"/>
          <w:szCs w:val="24"/>
          <w:lang w:eastAsia="en-US"/>
        </w:rPr>
        <w:t xml:space="preserve"> dikumpulkan/ diabsorbsi dengan cotton roll atau kassa yang ditempatkan dimulut pada orifi kelenjar saliva mayor (Kusuma, 2015). </w:t>
      </w:r>
    </w:p>
    <w:p w14:paraId="5B9EE190" w14:textId="77777777" w:rsidR="00070DD1" w:rsidRDefault="00000000">
      <w:pPr>
        <w:keepNext/>
        <w:keepLines/>
        <w:numPr>
          <w:ilvl w:val="0"/>
          <w:numId w:val="6"/>
        </w:numPr>
        <w:spacing w:before="40" w:line="259" w:lineRule="auto"/>
        <w:outlineLvl w:val="1"/>
        <w:rPr>
          <w:rFonts w:ascii="Times New Roman" w:eastAsia="DengXian Light" w:hAnsi="Times New Roman" w:cs="Times New Roman"/>
          <w:sz w:val="24"/>
          <w:szCs w:val="24"/>
          <w:lang w:eastAsia="en-US"/>
        </w:rPr>
      </w:pPr>
      <w:bookmarkStart w:id="20" w:name="_Toc120540039"/>
      <w:r>
        <w:rPr>
          <w:rFonts w:ascii="Times New Roman" w:eastAsia="DengXian Light" w:hAnsi="Times New Roman" w:cs="Times New Roman"/>
          <w:sz w:val="24"/>
          <w:szCs w:val="24"/>
          <w:lang w:eastAsia="en-US"/>
        </w:rPr>
        <w:t xml:space="preserve">Metode penilaian </w:t>
      </w:r>
      <w:r>
        <w:rPr>
          <w:rFonts w:ascii="Times New Roman" w:eastAsia="DengXian Light" w:hAnsi="Times New Roman" w:cs="Times New Roman"/>
          <w:i/>
          <w:iCs/>
          <w:sz w:val="24"/>
          <w:szCs w:val="24"/>
          <w:lang w:eastAsia="en-US"/>
        </w:rPr>
        <w:t>pH</w:t>
      </w:r>
      <w:r>
        <w:rPr>
          <w:rFonts w:ascii="Times New Roman" w:eastAsia="DengXian Light" w:hAnsi="Times New Roman" w:cs="Times New Roman"/>
          <w:sz w:val="24"/>
          <w:szCs w:val="24"/>
          <w:lang w:eastAsia="en-US"/>
        </w:rPr>
        <w:t xml:space="preserve"> saliva</w:t>
      </w:r>
      <w:bookmarkEnd w:id="20"/>
    </w:p>
    <w:p w14:paraId="794027ED"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2D48AE67" w14:textId="77777777" w:rsidR="00070DD1" w:rsidRDefault="00000000">
      <w:pPr>
        <w:spacing w:before="24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Terdapat dua cara melakukan pengukuran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yaitu dengan saliva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paper dan juga dengan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meter.</w:t>
      </w:r>
    </w:p>
    <w:p w14:paraId="58577045" w14:textId="77777777" w:rsidR="00070DD1" w:rsidRDefault="00000000">
      <w:pPr>
        <w:numPr>
          <w:ilvl w:val="0"/>
          <w:numId w:val="10"/>
        </w:numPr>
        <w:spacing w:before="240" w:beforeAutospacing="1" w:after="100" w:afterAutospacing="1" w:line="48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i/>
          <w:iCs/>
          <w:sz w:val="24"/>
          <w:szCs w:val="24"/>
          <w:lang w:eastAsia="en-US"/>
        </w:rPr>
        <w:t>Saliva pH paper</w:t>
      </w:r>
    </w:p>
    <w:p w14:paraId="2D7AF284" w14:textId="77777777" w:rsidR="00070DD1" w:rsidRDefault="00000000">
      <w:pPr>
        <w:spacing w:before="240" w:beforeAutospacing="1" w:after="100" w:afterAutospacing="1" w:line="480" w:lineRule="auto"/>
        <w:ind w:left="1170" w:firstLine="540"/>
        <w:contextualSpacing/>
        <w:jc w:val="both"/>
        <w:rPr>
          <w:rFonts w:ascii="TimesNewRomanPSMT" w:eastAsia="Calibri" w:hAnsi="TimesNewRomanPSMT" w:cs="TimesNewRomanPSMT"/>
          <w:sz w:val="24"/>
          <w:szCs w:val="24"/>
          <w:lang w:eastAsia="en-US"/>
        </w:rPr>
      </w:pPr>
      <w:r>
        <w:rPr>
          <w:rFonts w:ascii="Times New Roman" w:eastAsia="Calibri" w:hAnsi="Times New Roman" w:cs="Times New Roman"/>
          <w:sz w:val="24"/>
          <w:szCs w:val="24"/>
          <w:lang w:eastAsia="en-US"/>
        </w:rPr>
        <w:t xml:space="preserve">Derajat keasaman dari saliva yang diukur dengan menggunakan </w:t>
      </w:r>
      <w:r>
        <w:rPr>
          <w:rFonts w:ascii="Times New Roman" w:eastAsia="Calibri" w:hAnsi="Times New Roman" w:cs="Times New Roman"/>
          <w:i/>
          <w:iCs/>
          <w:sz w:val="24"/>
          <w:szCs w:val="24"/>
          <w:lang w:eastAsia="en-US"/>
        </w:rPr>
        <w:t xml:space="preserve">saliva pH paper. </w:t>
      </w:r>
      <w:r>
        <w:rPr>
          <w:rFonts w:ascii="Times New Roman" w:eastAsia="Calibri" w:hAnsi="Times New Roman" w:cs="Times New Roman"/>
          <w:sz w:val="24"/>
          <w:szCs w:val="24"/>
          <w:lang w:eastAsia="en-US"/>
        </w:rPr>
        <w:t xml:space="preserve">Cara pengukuran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saliva adalah dengan mencelupkan ujung kertas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pada saliva yang terkumpul dalam gelas dan segera diangkat apabila kertas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telah basah secara keseluruhan. Perubahan wama pada kertas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seteiah 10 detik diamati dan disesuaikan dengan melihat panduan pada </w:t>
      </w:r>
      <w:r>
        <w:rPr>
          <w:rFonts w:ascii="Times New Roman" w:eastAsia="Calibri" w:hAnsi="Times New Roman" w:cs="Times New Roman"/>
          <w:i/>
          <w:iCs/>
          <w:sz w:val="24"/>
          <w:szCs w:val="24"/>
          <w:lang w:eastAsia="en-US"/>
        </w:rPr>
        <w:t xml:space="preserve">dental saliva pH indicator, </w:t>
      </w:r>
      <w:r>
        <w:rPr>
          <w:rFonts w:ascii="Times New Roman" w:eastAsia="Calibri" w:hAnsi="Times New Roman" w:cs="Times New Roman"/>
          <w:sz w:val="24"/>
          <w:szCs w:val="24"/>
          <w:lang w:eastAsia="en-US"/>
        </w:rPr>
        <w:t xml:space="preserve">menggunakan </w:t>
      </w:r>
      <w:r>
        <w:rPr>
          <w:rFonts w:ascii="Times New Roman" w:eastAsia="Calibri" w:hAnsi="Times New Roman" w:cs="Times New Roman"/>
          <w:i/>
          <w:iCs/>
          <w:sz w:val="24"/>
          <w:szCs w:val="24"/>
          <w:lang w:eastAsia="en-US"/>
        </w:rPr>
        <w:t xml:space="preserve">traffic light matrix </w:t>
      </w:r>
      <w:r>
        <w:rPr>
          <w:rFonts w:ascii="Times New Roman" w:eastAsia="Calibri" w:hAnsi="Times New Roman" w:cs="Times New Roman"/>
          <w:sz w:val="24"/>
          <w:szCs w:val="24"/>
          <w:lang w:eastAsia="en-US"/>
        </w:rPr>
        <w:t xml:space="preserve">(TLM) untuk menentukan tingkat keasaman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Menurut </w:t>
      </w:r>
      <w:r>
        <w:rPr>
          <w:rFonts w:ascii="Times New Roman" w:eastAsia="Calibri" w:hAnsi="Times New Roman" w:cs="Times New Roman"/>
          <w:i/>
          <w:iCs/>
          <w:sz w:val="24"/>
          <w:szCs w:val="24"/>
          <w:lang w:eastAsia="en-US"/>
        </w:rPr>
        <w:t xml:space="preserve">denial saliva pH indicator </w:t>
      </w:r>
      <w:r>
        <w:rPr>
          <w:rFonts w:ascii="TimesNewRomanPSMT" w:eastAsia="Calibri" w:hAnsi="TimesNewRomanPSMT" w:cs="TimesNewRomanPSMT"/>
          <w:sz w:val="24"/>
          <w:szCs w:val="24"/>
          <w:lang w:eastAsia="en-US"/>
        </w:rPr>
        <w:t xml:space="preserve">wama merah menunjukkan </w:t>
      </w:r>
      <w:r>
        <w:rPr>
          <w:rFonts w:ascii="TimesNewRomanPSMT" w:eastAsia="Calibri" w:hAnsi="TimesNewRomanPSMT" w:cs="TimesNewRomanPSMT"/>
          <w:i/>
          <w:iCs/>
          <w:sz w:val="24"/>
          <w:szCs w:val="24"/>
          <w:lang w:eastAsia="en-US"/>
        </w:rPr>
        <w:t>pH</w:t>
      </w:r>
      <w:r>
        <w:rPr>
          <w:rFonts w:ascii="TimesNewRomanPSMT" w:eastAsia="Calibri" w:hAnsi="TimesNewRomanPSMT" w:cs="TimesNewRomanPSMT"/>
          <w:sz w:val="24"/>
          <w:szCs w:val="24"/>
          <w:lang w:eastAsia="en-US"/>
        </w:rPr>
        <w:t xml:space="preserve"> bersifat asam, wama kuning </w:t>
      </w:r>
      <w:r>
        <w:rPr>
          <w:rFonts w:ascii="TimesNewRomanPSMT" w:eastAsia="Calibri" w:hAnsi="TimesNewRomanPSMT" w:cs="TimesNewRomanPSMT"/>
          <w:i/>
          <w:iCs/>
          <w:sz w:val="24"/>
          <w:szCs w:val="24"/>
          <w:lang w:eastAsia="en-US"/>
        </w:rPr>
        <w:t>pH</w:t>
      </w:r>
      <w:r>
        <w:rPr>
          <w:rFonts w:ascii="TimesNewRomanPSMT" w:eastAsia="Calibri" w:hAnsi="TimesNewRomanPSMT" w:cs="TimesNewRomanPSMT"/>
          <w:sz w:val="24"/>
          <w:szCs w:val="24"/>
          <w:lang w:eastAsia="en-US"/>
        </w:rPr>
        <w:t xml:space="preserve"> normal, dan wama hijau </w:t>
      </w:r>
      <w:r>
        <w:rPr>
          <w:rFonts w:ascii="TimesNewRomanPSMT" w:eastAsia="Calibri" w:hAnsi="TimesNewRomanPSMT" w:cs="TimesNewRomanPSMT"/>
          <w:i/>
          <w:iCs/>
          <w:sz w:val="24"/>
          <w:szCs w:val="24"/>
          <w:lang w:eastAsia="en-US"/>
        </w:rPr>
        <w:t>pH</w:t>
      </w:r>
      <w:r>
        <w:rPr>
          <w:rFonts w:ascii="TimesNewRomanPSMT" w:eastAsia="Calibri" w:hAnsi="TimesNewRomanPSMT" w:cs="TimesNewRomanPSMT"/>
          <w:sz w:val="24"/>
          <w:szCs w:val="24"/>
          <w:lang w:eastAsia="en-US"/>
        </w:rPr>
        <w:t xml:space="preserve"> bersifat basa (Prasetyanti, 2018).</w:t>
      </w:r>
    </w:p>
    <w:p w14:paraId="60B6778F" w14:textId="77777777" w:rsidR="00070DD1" w:rsidRDefault="00070DD1">
      <w:pPr>
        <w:spacing w:before="240" w:beforeAutospacing="1" w:after="100" w:afterAutospacing="1" w:line="480" w:lineRule="auto"/>
        <w:ind w:left="1170" w:firstLine="540"/>
        <w:contextualSpacing/>
        <w:jc w:val="both"/>
        <w:rPr>
          <w:rFonts w:ascii="TimesNewRomanPSMT" w:eastAsia="Calibri" w:hAnsi="TimesNewRomanPSMT" w:cs="TimesNewRomanPSMT"/>
          <w:sz w:val="24"/>
          <w:szCs w:val="24"/>
          <w:lang w:eastAsia="en-US"/>
        </w:rPr>
      </w:pPr>
    </w:p>
    <w:p w14:paraId="53159F56" w14:textId="77777777" w:rsidR="00070DD1" w:rsidRDefault="00000000">
      <w:pPr>
        <w:numPr>
          <w:ilvl w:val="0"/>
          <w:numId w:val="10"/>
        </w:numPr>
        <w:spacing w:before="240" w:beforeAutospacing="1" w:after="100" w:afterAutospacing="1" w:line="480" w:lineRule="auto"/>
        <w:contextualSpacing/>
        <w:jc w:val="both"/>
        <w:rPr>
          <w:rFonts w:ascii="TimesNewRomanPSMT" w:eastAsia="Calibri" w:hAnsi="TimesNewRomanPSMT" w:cs="TimesNewRomanPSMT"/>
          <w:sz w:val="24"/>
          <w:szCs w:val="24"/>
          <w:lang w:eastAsia="en-US"/>
        </w:rPr>
      </w:pPr>
      <w:r>
        <w:rPr>
          <w:rFonts w:ascii="TimesNewRomanPSMT" w:eastAsia="Calibri" w:hAnsi="TimesNewRomanPSMT" w:cs="TimesNewRomanPSMT"/>
          <w:sz w:val="24"/>
          <w:szCs w:val="24"/>
          <w:lang w:eastAsia="en-US"/>
        </w:rPr>
        <w:lastRenderedPageBreak/>
        <w:t>pH Meter</w:t>
      </w:r>
    </w:p>
    <w:p w14:paraId="7F8E7FC7" w14:textId="77777777" w:rsidR="00070DD1" w:rsidRDefault="00000000">
      <w:pPr>
        <w:spacing w:before="240" w:beforeAutospacing="1" w:after="100" w:afterAutospacing="1" w:line="480" w:lineRule="auto"/>
        <w:ind w:left="117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pH meter adalah salah satu alat untuk menetukan pH suatu larutan. pH meter mempunyai elektroda yang dapat dicelupkan ke dalam larutan yang akan diukur pH nya. Nilai pH dapat dengan mudah dilihat secara langsung melalui angka yang tertera pada layar digital dari pH meter (Surahman, 2018).</w:t>
      </w:r>
    </w:p>
    <w:p w14:paraId="18C8F7D2" w14:textId="77777777" w:rsidR="00070DD1" w:rsidRDefault="00000000">
      <w:pPr>
        <w:spacing w:before="240" w:beforeAutospacing="1" w:after="100" w:afterAutospacing="1" w:line="480" w:lineRule="auto"/>
        <w:ind w:left="1170" w:firstLine="630"/>
        <w:contextualSpacing/>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bdr w:val="single" w:sz="4" w:space="0" w:color="auto"/>
          <w:lang w:eastAsia="en-US"/>
        </w:rPr>
        <w:drawing>
          <wp:inline distT="0" distB="0" distL="0" distR="0" wp14:anchorId="3561CD30" wp14:editId="34D95F2F">
            <wp:extent cx="1150620" cy="1857251"/>
            <wp:effectExtent l="19050" t="19050" r="11430" b="1016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151737" cy="1859053"/>
                    </a:xfrm>
                    <a:prstGeom prst="rect">
                      <a:avLst/>
                    </a:prstGeom>
                    <a:noFill/>
                    <a:ln w="3175">
                      <a:solidFill>
                        <a:schemeClr val="tx1"/>
                      </a:solidFill>
                    </a:ln>
                  </pic:spPr>
                </pic:pic>
              </a:graphicData>
            </a:graphic>
          </wp:inline>
        </w:drawing>
      </w:r>
    </w:p>
    <w:p w14:paraId="70D7F6F2" w14:textId="77777777" w:rsidR="00070DD1" w:rsidRDefault="00000000">
      <w:pPr>
        <w:ind w:left="1166" w:firstLine="634"/>
        <w:contextualSpacing/>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Gambar 2.2 : pH Meter </w:t>
      </w:r>
    </w:p>
    <w:p w14:paraId="2829A2F1" w14:textId="77777777" w:rsidR="00070DD1" w:rsidRDefault="00070DD1">
      <w:pPr>
        <w:ind w:left="1166" w:firstLine="634"/>
        <w:contextualSpacing/>
        <w:jc w:val="center"/>
        <w:rPr>
          <w:rFonts w:ascii="Times New Roman" w:eastAsia="Calibri" w:hAnsi="Times New Roman" w:cs="Times New Roman"/>
          <w:sz w:val="24"/>
          <w:szCs w:val="24"/>
          <w:lang w:eastAsia="en-US"/>
        </w:rPr>
      </w:pPr>
    </w:p>
    <w:p w14:paraId="605CC94C" w14:textId="77777777" w:rsidR="00070DD1" w:rsidRDefault="00000000">
      <w:pPr>
        <w:ind w:left="1166" w:firstLine="634"/>
        <w:contextualSpacing/>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Sumber : Hannainst, 2016</w:t>
      </w:r>
    </w:p>
    <w:p w14:paraId="62A348F7" w14:textId="77777777" w:rsidR="00070DD1" w:rsidRDefault="00000000">
      <w:pPr>
        <w:keepNext/>
        <w:keepLines/>
        <w:numPr>
          <w:ilvl w:val="0"/>
          <w:numId w:val="1"/>
        </w:numPr>
        <w:spacing w:before="240" w:line="259" w:lineRule="auto"/>
        <w:ind w:left="450"/>
        <w:outlineLvl w:val="0"/>
        <w:rPr>
          <w:rFonts w:ascii="Times New Roman" w:eastAsia="DengXian Light" w:hAnsi="Times New Roman" w:cs="Times New Roman"/>
          <w:b/>
          <w:bCs/>
          <w:color w:val="000000"/>
          <w:sz w:val="24"/>
          <w:szCs w:val="24"/>
          <w:lang w:eastAsia="en-US"/>
        </w:rPr>
      </w:pPr>
      <w:bookmarkStart w:id="21" w:name="_Toc115771682"/>
      <w:bookmarkStart w:id="22" w:name="_Toc19226"/>
      <w:bookmarkStart w:id="23" w:name="_Toc120540040"/>
      <w:r>
        <w:rPr>
          <w:rFonts w:ascii="Times New Roman" w:eastAsia="DengXian Light" w:hAnsi="Times New Roman" w:cs="Times New Roman"/>
          <w:b/>
          <w:bCs/>
          <w:color w:val="000000"/>
          <w:sz w:val="24"/>
          <w:szCs w:val="24"/>
          <w:lang w:eastAsia="en-US"/>
        </w:rPr>
        <w:t>Probiotik</w:t>
      </w:r>
      <w:bookmarkEnd w:id="21"/>
      <w:bookmarkEnd w:id="22"/>
      <w:bookmarkEnd w:id="23"/>
    </w:p>
    <w:p w14:paraId="2D331C33" w14:textId="77777777" w:rsidR="00070DD1" w:rsidRDefault="00070DD1">
      <w:pPr>
        <w:keepNext/>
        <w:keepLines/>
        <w:spacing w:before="240" w:line="259" w:lineRule="auto"/>
        <w:ind w:left="90"/>
        <w:outlineLvl w:val="0"/>
        <w:rPr>
          <w:rFonts w:ascii="Times New Roman" w:eastAsia="DengXian Light" w:hAnsi="Times New Roman" w:cs="Times New Roman"/>
          <w:b/>
          <w:bCs/>
          <w:color w:val="000000"/>
          <w:sz w:val="24"/>
          <w:szCs w:val="24"/>
          <w:lang w:eastAsia="en-US"/>
        </w:rPr>
      </w:pPr>
    </w:p>
    <w:p w14:paraId="1CCD9CA8" w14:textId="77777777" w:rsidR="00070DD1" w:rsidRDefault="00000000">
      <w:pPr>
        <w:keepNext/>
        <w:keepLines/>
        <w:numPr>
          <w:ilvl w:val="0"/>
          <w:numId w:val="11"/>
        </w:numPr>
        <w:spacing w:before="40" w:line="259" w:lineRule="auto"/>
        <w:outlineLvl w:val="1"/>
        <w:rPr>
          <w:rFonts w:ascii="Times New Roman" w:eastAsia="DengXian Light" w:hAnsi="Times New Roman" w:cs="Times New Roman"/>
          <w:sz w:val="24"/>
          <w:szCs w:val="24"/>
          <w:lang w:eastAsia="en-US"/>
        </w:rPr>
      </w:pPr>
      <w:bookmarkStart w:id="24" w:name="_Toc120540041"/>
      <w:r>
        <w:rPr>
          <w:rFonts w:ascii="Times New Roman" w:eastAsia="DengXian Light" w:hAnsi="Times New Roman" w:cs="Times New Roman"/>
          <w:sz w:val="24"/>
          <w:szCs w:val="24"/>
          <w:lang w:eastAsia="en-US"/>
        </w:rPr>
        <w:t>Defini Probiotik</w:t>
      </w:r>
      <w:bookmarkEnd w:id="24"/>
    </w:p>
    <w:p w14:paraId="16FFA17D"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Pertama kali istilah probiotik perkenalkan oleh Lilley dan Stillwell pada tahun 1965 , yang mendefinisikan yang mendefinisikan probiotik sebagai mikroba yang menstimulasi pertumbuhan mikroba lainnya. Menurut </w:t>
      </w:r>
      <w:r>
        <w:rPr>
          <w:rFonts w:ascii="Times New Roman" w:eastAsia="Calibri" w:hAnsi="Times New Roman" w:cs="Times New Roman"/>
          <w:i/>
          <w:iCs/>
          <w:sz w:val="24"/>
          <w:szCs w:val="24"/>
          <w:lang w:eastAsia="en-US"/>
        </w:rPr>
        <w:t>Food and Agriculture Organization</w:t>
      </w:r>
      <w:r>
        <w:rPr>
          <w:rFonts w:ascii="Times New Roman" w:eastAsia="Calibri" w:hAnsi="Times New Roman" w:cs="Times New Roman"/>
          <w:sz w:val="24"/>
          <w:szCs w:val="24"/>
          <w:lang w:eastAsia="en-US"/>
        </w:rPr>
        <w:t xml:space="preserve"> (FAO) dan </w:t>
      </w:r>
      <w:r>
        <w:rPr>
          <w:rFonts w:ascii="Times New Roman" w:eastAsia="Calibri" w:hAnsi="Times New Roman" w:cs="Times New Roman"/>
          <w:i/>
          <w:iCs/>
          <w:sz w:val="24"/>
          <w:szCs w:val="24"/>
          <w:lang w:eastAsia="en-US"/>
        </w:rPr>
        <w:t>World Health Organization</w:t>
      </w:r>
      <w:r>
        <w:rPr>
          <w:rFonts w:ascii="Times New Roman" w:eastAsia="Calibri" w:hAnsi="Times New Roman" w:cs="Times New Roman"/>
          <w:sz w:val="24"/>
          <w:szCs w:val="24"/>
          <w:lang w:eastAsia="en-US"/>
        </w:rPr>
        <w:t xml:space="preserve"> (WHO) tahun 2002 probiotik adalah mikroorganisme yang hidup dalam tubuh host dengan jumlah yang memadai yang akan memberikan manfaat kesehatan pada </w:t>
      </w:r>
      <w:r>
        <w:rPr>
          <w:rFonts w:ascii="Times New Roman" w:eastAsia="Calibri" w:hAnsi="Times New Roman" w:cs="Times New Roman"/>
          <w:i/>
          <w:iCs/>
          <w:sz w:val="24"/>
          <w:szCs w:val="24"/>
          <w:lang w:eastAsia="en-US"/>
        </w:rPr>
        <w:t>host</w:t>
      </w:r>
      <w:r>
        <w:rPr>
          <w:rFonts w:ascii="Times New Roman" w:eastAsia="Calibri" w:hAnsi="Times New Roman" w:cs="Times New Roman"/>
          <w:sz w:val="24"/>
          <w:szCs w:val="24"/>
          <w:lang w:eastAsia="en-US"/>
        </w:rPr>
        <w:t xml:space="preserve"> ( Hill dkk, 2015 ).  Mekanisme </w:t>
      </w:r>
      <w:r>
        <w:rPr>
          <w:rFonts w:ascii="Times New Roman" w:eastAsia="Calibri" w:hAnsi="Times New Roman" w:cs="Times New Roman"/>
          <w:sz w:val="24"/>
          <w:szCs w:val="24"/>
          <w:lang w:eastAsia="en-US"/>
        </w:rPr>
        <w:lastRenderedPageBreak/>
        <w:t xml:space="preserve">probiotik misalnya, memiliki dampak pada mikrobiota usus atau meningkatkan fungsi kekebalan tubuh. Probiotik yang efektif harus memenuhi beberapa kriteria seperti, memberikan efek yang menguntungkan pada </w:t>
      </w:r>
      <w:r>
        <w:rPr>
          <w:rFonts w:ascii="Times New Roman" w:eastAsia="Calibri" w:hAnsi="Times New Roman" w:cs="Times New Roman"/>
          <w:i/>
          <w:iCs/>
          <w:sz w:val="24"/>
          <w:szCs w:val="24"/>
          <w:lang w:eastAsia="en-US"/>
        </w:rPr>
        <w:t>host</w:t>
      </w:r>
      <w:r>
        <w:rPr>
          <w:rFonts w:ascii="Times New Roman" w:eastAsia="Calibri" w:hAnsi="Times New Roman" w:cs="Times New Roman"/>
          <w:sz w:val="24"/>
          <w:szCs w:val="24"/>
          <w:lang w:eastAsia="en-US"/>
        </w:rPr>
        <w:t xml:space="preserve">, tidak patogenik dan tidak toksik, mengandung sejumlah besar sel hidup, mampu bertahan dan melakukan kegiatan metabolisme dalam usus, tetap hidup selama dalam penyimpanan dan waktu digunakan, mempunyai sifat sensori yang baik, dan diisolasi dari </w:t>
      </w:r>
      <w:r>
        <w:rPr>
          <w:rFonts w:ascii="Times New Roman" w:eastAsia="Calibri" w:hAnsi="Times New Roman" w:cs="Times New Roman"/>
          <w:i/>
          <w:iCs/>
          <w:sz w:val="24"/>
          <w:szCs w:val="24"/>
          <w:lang w:eastAsia="en-US"/>
        </w:rPr>
        <w:t>host</w:t>
      </w:r>
      <w:r>
        <w:rPr>
          <w:rFonts w:ascii="Times New Roman" w:eastAsia="Calibri" w:hAnsi="Times New Roman" w:cs="Times New Roman"/>
          <w:sz w:val="24"/>
          <w:szCs w:val="24"/>
          <w:lang w:eastAsia="en-US"/>
        </w:rPr>
        <w:t xml:space="preserve">. Bakteri-bakteri probiotik </w:t>
      </w:r>
      <w:r>
        <w:rPr>
          <w:rFonts w:ascii="Times New Roman" w:eastAsia="Calibri" w:hAnsi="Times New Roman" w:cs="Times New Roman"/>
          <w:i/>
          <w:iCs/>
          <w:sz w:val="24"/>
          <w:szCs w:val="24"/>
          <w:lang w:eastAsia="en-US"/>
        </w:rPr>
        <w:t xml:space="preserve">(Lactobacillus dan Bifidobacterium) </w:t>
      </w:r>
      <w:r>
        <w:rPr>
          <w:rFonts w:ascii="Times New Roman" w:eastAsia="Calibri" w:hAnsi="Times New Roman" w:cs="Times New Roman"/>
          <w:sz w:val="24"/>
          <w:szCs w:val="24"/>
          <w:lang w:eastAsia="en-US"/>
        </w:rPr>
        <w:t>bekerja secara anaerob menghasilkan asam laktat mengakibatkan turunnya pH saluran pencernaan yang menghalangi perkembangan dan pertumbuhan bakteribakteri pathogen ( Hill C, Guarner F dkk, 2015)</w:t>
      </w:r>
    </w:p>
    <w:p w14:paraId="67E304AF" w14:textId="77777777" w:rsidR="00070DD1" w:rsidRDefault="00000000">
      <w:pPr>
        <w:keepNext/>
        <w:keepLines/>
        <w:numPr>
          <w:ilvl w:val="0"/>
          <w:numId w:val="11"/>
        </w:numPr>
        <w:spacing w:before="40" w:line="259" w:lineRule="auto"/>
        <w:outlineLvl w:val="1"/>
        <w:rPr>
          <w:rFonts w:ascii="Times New Roman" w:eastAsia="DengXian Light" w:hAnsi="Times New Roman" w:cs="Times New Roman"/>
          <w:sz w:val="24"/>
          <w:szCs w:val="24"/>
          <w:lang w:eastAsia="en-US"/>
        </w:rPr>
      </w:pPr>
      <w:bookmarkStart w:id="25" w:name="_Toc120540042"/>
      <w:r>
        <w:rPr>
          <w:rFonts w:ascii="Times New Roman" w:eastAsia="DengXian Light" w:hAnsi="Times New Roman" w:cs="Times New Roman"/>
          <w:sz w:val="24"/>
          <w:szCs w:val="24"/>
          <w:lang w:eastAsia="en-US"/>
        </w:rPr>
        <w:t>Jenis Probiotik</w:t>
      </w:r>
      <w:bookmarkEnd w:id="25"/>
    </w:p>
    <w:p w14:paraId="0B37AA55"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718E42E9"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Berdasarkan dari beberapa hasil penelitian dilaporkan bahwa jenis mikroba yang digunakan pada probiotik untuk manusia meliputi bakteri asam laktat, </w:t>
      </w:r>
      <w:r>
        <w:rPr>
          <w:rFonts w:ascii="Times New Roman" w:eastAsia="Calibri" w:hAnsi="Times New Roman" w:cs="Times New Roman"/>
          <w:i/>
          <w:iCs/>
          <w:sz w:val="24"/>
          <w:szCs w:val="24"/>
          <w:lang w:eastAsia="en-US"/>
        </w:rPr>
        <w:t>Bifidobacterium sp., Saccharomyces cereviseae, Saccharomyces boulardi, E. coli dan Bacillus subtilis. Namun demikian BAL dan Bifidobacterium sp</w:t>
      </w:r>
      <w:r>
        <w:rPr>
          <w:rFonts w:ascii="Times New Roman" w:eastAsia="Calibri" w:hAnsi="Times New Roman" w:cs="Times New Roman"/>
          <w:sz w:val="24"/>
          <w:szCs w:val="24"/>
          <w:lang w:eastAsia="en-US"/>
        </w:rPr>
        <w:t>. merupakan mikroba yang paling umum digunakan sebagai probiotik dalam makanan fungsional secara komersia.</w:t>
      </w:r>
    </w:p>
    <w:p w14:paraId="79A9E225"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i/>
          <w:iCs/>
          <w:sz w:val="24"/>
          <w:szCs w:val="24"/>
          <w:lang w:eastAsia="en-US"/>
        </w:rPr>
      </w:pPr>
      <w:r>
        <w:rPr>
          <w:rFonts w:ascii="Times New Roman" w:eastAsia="Calibri" w:hAnsi="Times New Roman" w:cs="Times New Roman"/>
          <w:sz w:val="24"/>
          <w:szCs w:val="24"/>
          <w:lang w:eastAsia="en-US"/>
        </w:rPr>
        <w:t xml:space="preserve">Bakteri asam laktat adalah bakteri gram-positif, tidak membentuk spora, berbentuk kokus atau batang serta memproduksi asam laktat sebagai produk utama selama fermentasi karbohidrat. BAL dikategorikan menjadi 10 genus yaitu </w:t>
      </w:r>
      <w:r>
        <w:rPr>
          <w:rFonts w:ascii="Times New Roman" w:eastAsia="Calibri" w:hAnsi="Times New Roman" w:cs="Times New Roman"/>
          <w:i/>
          <w:iCs/>
          <w:sz w:val="24"/>
          <w:szCs w:val="24"/>
          <w:lang w:eastAsia="en-US"/>
        </w:rPr>
        <w:t>Streptococcus, Pediococcus, Lactobacillus</w:t>
      </w:r>
      <w:r>
        <w:rPr>
          <w:rFonts w:ascii="Times New Roman" w:eastAsia="Calibri" w:hAnsi="Times New Roman" w:cs="Times New Roman"/>
          <w:sz w:val="24"/>
          <w:szCs w:val="24"/>
          <w:lang w:eastAsia="en-US"/>
        </w:rPr>
        <w:t xml:space="preserve">, </w:t>
      </w:r>
      <w:r>
        <w:rPr>
          <w:rFonts w:ascii="Times New Roman" w:eastAsia="Calibri" w:hAnsi="Times New Roman" w:cs="Times New Roman"/>
          <w:i/>
          <w:iCs/>
          <w:sz w:val="24"/>
          <w:szCs w:val="24"/>
          <w:lang w:eastAsia="en-US"/>
        </w:rPr>
        <w:t xml:space="preserve">Leuconostoc, Aerococcus, Carnobacterium, Enterococcus, Lactococcus, </w:t>
      </w:r>
      <w:r>
        <w:rPr>
          <w:rFonts w:ascii="Times New Roman" w:eastAsia="Calibri" w:hAnsi="Times New Roman" w:cs="Times New Roman"/>
          <w:i/>
          <w:iCs/>
          <w:sz w:val="24"/>
          <w:szCs w:val="24"/>
          <w:lang w:eastAsia="en-US"/>
        </w:rPr>
        <w:lastRenderedPageBreak/>
        <w:t>Tetragenococcus,</w:t>
      </w:r>
      <w:r>
        <w:rPr>
          <w:rFonts w:ascii="Times New Roman" w:eastAsia="Calibri" w:hAnsi="Times New Roman" w:cs="Times New Roman"/>
          <w:sz w:val="24"/>
          <w:szCs w:val="24"/>
          <w:lang w:eastAsia="en-US"/>
        </w:rPr>
        <w:t xml:space="preserve"> dan </w:t>
      </w:r>
      <w:r>
        <w:rPr>
          <w:rFonts w:ascii="Times New Roman" w:eastAsia="Calibri" w:hAnsi="Times New Roman" w:cs="Times New Roman"/>
          <w:i/>
          <w:iCs/>
          <w:sz w:val="24"/>
          <w:szCs w:val="24"/>
          <w:lang w:eastAsia="en-US"/>
        </w:rPr>
        <w:t>Vagococcus</w:t>
      </w:r>
      <w:r>
        <w:rPr>
          <w:rFonts w:ascii="Times New Roman" w:eastAsia="Calibri" w:hAnsi="Times New Roman" w:cs="Times New Roman"/>
          <w:sz w:val="24"/>
          <w:szCs w:val="24"/>
          <w:lang w:eastAsia="en-US"/>
        </w:rPr>
        <w:t xml:space="preserve">. Diantara genus BAL ini yang sering digunakan sebagai probiotik adalah </w:t>
      </w:r>
      <w:r>
        <w:rPr>
          <w:rFonts w:ascii="Times New Roman" w:eastAsia="Calibri" w:hAnsi="Times New Roman" w:cs="Times New Roman"/>
          <w:i/>
          <w:iCs/>
          <w:sz w:val="24"/>
          <w:szCs w:val="24"/>
          <w:lang w:eastAsia="en-US"/>
        </w:rPr>
        <w:t>Lactobacillus sp.</w:t>
      </w:r>
    </w:p>
    <w:p w14:paraId="0555AF3D" w14:textId="77777777" w:rsidR="00070DD1" w:rsidRDefault="00000000">
      <w:pPr>
        <w:spacing w:before="100" w:beforeAutospacing="1" w:after="100" w:afterAutospacing="1" w:line="480" w:lineRule="auto"/>
        <w:ind w:left="810"/>
        <w:contextualSpacing/>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Tabel 2.2 Bakteri yang digunakan sebagai probiotik secara komersial</w:t>
      </w:r>
    </w:p>
    <w:tbl>
      <w:tblPr>
        <w:tblStyle w:val="PlainTable21"/>
        <w:tblW w:w="6776" w:type="dxa"/>
        <w:tblInd w:w="823" w:type="dxa"/>
        <w:tblCellMar>
          <w:top w:w="0" w:type="dxa"/>
          <w:left w:w="108" w:type="dxa"/>
          <w:bottom w:w="0" w:type="dxa"/>
          <w:right w:w="108" w:type="dxa"/>
        </w:tblCellMar>
        <w:tblLook w:val="04A0" w:firstRow="1" w:lastRow="0" w:firstColumn="1" w:lastColumn="0" w:noHBand="0" w:noVBand="1"/>
      </w:tblPr>
      <w:tblGrid>
        <w:gridCol w:w="1877"/>
        <w:gridCol w:w="4899"/>
      </w:tblGrid>
      <w:tr w:rsidR="00070DD1" w14:paraId="31AFE3AB" w14:textId="77777777" w:rsidTr="0007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Pr>
          <w:p w14:paraId="43306C22"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Jenis Probiotik</w:t>
            </w:r>
          </w:p>
        </w:tc>
        <w:tc>
          <w:tcPr>
            <w:tcW w:w="4899" w:type="dxa"/>
          </w:tcPr>
          <w:p w14:paraId="33B13E4D" w14:textId="77777777" w:rsidR="00070DD1" w:rsidRDefault="00000000">
            <w:pPr>
              <w:spacing w:before="100" w:beforeAutospacing="1" w:after="100" w:afterAutospacing="1"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eastAsia="en-US"/>
              </w:rPr>
            </w:pPr>
            <w:r>
              <w:rPr>
                <w:rFonts w:ascii="Times New Roman" w:eastAsia="Calibri" w:hAnsi="Times New Roman" w:cs="Times New Roman"/>
                <w:sz w:val="24"/>
                <w:szCs w:val="24"/>
                <w:lang w:eastAsia="en-US"/>
              </w:rPr>
              <w:t>Spesis</w:t>
            </w:r>
          </w:p>
        </w:tc>
      </w:tr>
      <w:tr w:rsidR="00070DD1" w14:paraId="25459C0A" w14:textId="77777777" w:rsidTr="00070DD1">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7E7E7E"/>
              <w:bottom w:val="single" w:sz="4" w:space="0" w:color="7E7E7E"/>
            </w:tcBorders>
          </w:tcPr>
          <w:p w14:paraId="43BDECD7"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Lactobacillus</w:t>
            </w:r>
          </w:p>
        </w:tc>
        <w:tc>
          <w:tcPr>
            <w:tcW w:w="4899" w:type="dxa"/>
            <w:tcBorders>
              <w:top w:val="single" w:sz="4" w:space="0" w:color="7E7E7E"/>
              <w:bottom w:val="single" w:sz="4" w:space="0" w:color="7E7E7E"/>
            </w:tcBorders>
          </w:tcPr>
          <w:p w14:paraId="6833C626" w14:textId="77777777" w:rsidR="00070DD1" w:rsidRDefault="00000000">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L. acidophilus, L. plantarum, L. casei, L. rhamnosus, L. delbrueckii subsp. bulgaricus, L. reuteri, L. fermentum, L. brevis, L. lactis, L. cellobiosus</w:t>
            </w:r>
          </w:p>
        </w:tc>
      </w:tr>
      <w:tr w:rsidR="00070DD1" w14:paraId="406450E5" w14:textId="77777777" w:rsidTr="00070DD1">
        <w:tc>
          <w:tcPr>
            <w:cnfStyle w:val="001000000000" w:firstRow="0" w:lastRow="0" w:firstColumn="1" w:lastColumn="0" w:oddVBand="0" w:evenVBand="0" w:oddHBand="0" w:evenHBand="0" w:firstRowFirstColumn="0" w:firstRowLastColumn="0" w:lastRowFirstColumn="0" w:lastRowLastColumn="0"/>
            <w:tcW w:w="1877" w:type="dxa"/>
          </w:tcPr>
          <w:p w14:paraId="7A7FE540"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Bifidobacterium</w:t>
            </w:r>
          </w:p>
        </w:tc>
        <w:tc>
          <w:tcPr>
            <w:tcW w:w="4899" w:type="dxa"/>
          </w:tcPr>
          <w:p w14:paraId="178ABC3E" w14:textId="77777777" w:rsidR="00070DD1" w:rsidRDefault="00000000">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B. longgum, B. bifidum,</w:t>
            </w:r>
          </w:p>
        </w:tc>
      </w:tr>
      <w:tr w:rsidR="00070DD1" w14:paraId="1F5F8042" w14:textId="77777777" w:rsidTr="00070DD1">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7E7E7E"/>
              <w:bottom w:val="single" w:sz="4" w:space="0" w:color="7E7E7E"/>
            </w:tcBorders>
          </w:tcPr>
          <w:p w14:paraId="638027C6"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Streptococcus</w:t>
            </w:r>
          </w:p>
        </w:tc>
        <w:tc>
          <w:tcPr>
            <w:tcW w:w="4899" w:type="dxa"/>
            <w:tcBorders>
              <w:top w:val="single" w:sz="4" w:space="0" w:color="7E7E7E"/>
              <w:bottom w:val="single" w:sz="4" w:space="0" w:color="7E7E7E"/>
            </w:tcBorders>
          </w:tcPr>
          <w:p w14:paraId="4682B4D1" w14:textId="77777777" w:rsidR="00070DD1" w:rsidRDefault="00000000">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S. lactis, S. cremoris, S. salivarious subsp. thermophilus, S. intermedius</w:t>
            </w:r>
          </w:p>
        </w:tc>
      </w:tr>
      <w:tr w:rsidR="00070DD1" w14:paraId="1F335075" w14:textId="77777777" w:rsidTr="00070DD1">
        <w:tc>
          <w:tcPr>
            <w:cnfStyle w:val="001000000000" w:firstRow="0" w:lastRow="0" w:firstColumn="1" w:lastColumn="0" w:oddVBand="0" w:evenVBand="0" w:oddHBand="0" w:evenHBand="0" w:firstRowFirstColumn="0" w:firstRowLastColumn="0" w:lastRowFirstColumn="0" w:lastRowLastColumn="0"/>
            <w:tcW w:w="1877" w:type="dxa"/>
          </w:tcPr>
          <w:p w14:paraId="2DC81EA6"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Pediococcus</w:t>
            </w:r>
          </w:p>
        </w:tc>
        <w:tc>
          <w:tcPr>
            <w:tcW w:w="4899" w:type="dxa"/>
          </w:tcPr>
          <w:p w14:paraId="714C8265" w14:textId="77777777" w:rsidR="00070DD1" w:rsidRDefault="00000000">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P. acidilactici</w:t>
            </w:r>
          </w:p>
        </w:tc>
      </w:tr>
      <w:tr w:rsidR="00070DD1" w14:paraId="2A4A5C4E" w14:textId="77777777" w:rsidTr="00070DD1">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7E7E7E"/>
              <w:bottom w:val="single" w:sz="4" w:space="0" w:color="7E7E7E"/>
            </w:tcBorders>
          </w:tcPr>
          <w:p w14:paraId="0EA26469" w14:textId="77777777" w:rsidR="00070DD1" w:rsidRDefault="00000000">
            <w:pPr>
              <w:spacing w:before="100" w:beforeAutospacing="1" w:after="100" w:afterAutospacing="1" w:line="360" w:lineRule="auto"/>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Enterobacte</w:t>
            </w:r>
          </w:p>
        </w:tc>
        <w:tc>
          <w:tcPr>
            <w:tcW w:w="4899" w:type="dxa"/>
            <w:tcBorders>
              <w:top w:val="single" w:sz="4" w:space="0" w:color="7E7E7E"/>
              <w:bottom w:val="single" w:sz="4" w:space="0" w:color="7E7E7E"/>
            </w:tcBorders>
          </w:tcPr>
          <w:p w14:paraId="06F2C3B3" w14:textId="77777777" w:rsidR="00070DD1" w:rsidRDefault="00000000">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E. coli non-enteropatogenik</w:t>
            </w:r>
          </w:p>
        </w:tc>
      </w:tr>
      <w:tr w:rsidR="00070DD1" w14:paraId="2B3BD3E1" w14:textId="77777777" w:rsidTr="00070DD1">
        <w:tc>
          <w:tcPr>
            <w:cnfStyle w:val="001000000000" w:firstRow="0" w:lastRow="0" w:firstColumn="1" w:lastColumn="0" w:oddVBand="0" w:evenVBand="0" w:oddHBand="0" w:evenHBand="0" w:firstRowFirstColumn="0" w:firstRowLastColumn="0" w:lastRowFirstColumn="0" w:lastRowLastColumn="0"/>
            <w:tcW w:w="1877" w:type="dxa"/>
          </w:tcPr>
          <w:p w14:paraId="01C3F19C" w14:textId="77777777" w:rsidR="00070DD1" w:rsidRDefault="00000000">
            <w:pPr>
              <w:spacing w:before="100" w:beforeAutospacing="1" w:after="100" w:afterAutospacing="1"/>
              <w:contextualSpacing/>
              <w:jc w:val="both"/>
              <w:rPr>
                <w:rFonts w:ascii="Times New Roman" w:eastAsia="Calibri" w:hAnsi="Times New Roman" w:cs="Times New Roman"/>
                <w:b w:val="0"/>
                <w:bCs w:val="0"/>
                <w:i/>
                <w:iCs/>
                <w:sz w:val="24"/>
                <w:szCs w:val="24"/>
                <w:lang w:eastAsia="en-US"/>
              </w:rPr>
            </w:pPr>
            <w:r>
              <w:rPr>
                <w:rFonts w:ascii="Times New Roman" w:eastAsia="Calibri" w:hAnsi="Times New Roman" w:cs="Times New Roman"/>
                <w:i/>
                <w:iCs/>
                <w:sz w:val="24"/>
                <w:szCs w:val="24"/>
                <w:lang w:eastAsia="en-US"/>
              </w:rPr>
              <w:t>Saccharomyces</w:t>
            </w:r>
          </w:p>
        </w:tc>
        <w:tc>
          <w:tcPr>
            <w:tcW w:w="4899" w:type="dxa"/>
          </w:tcPr>
          <w:p w14:paraId="551895E8" w14:textId="77777777" w:rsidR="00070DD1" w:rsidRDefault="00000000">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S. boulardi</w:t>
            </w:r>
          </w:p>
        </w:tc>
      </w:tr>
    </w:tbl>
    <w:p w14:paraId="313C2D1D" w14:textId="77777777" w:rsidR="00070DD1" w:rsidRDefault="00000000">
      <w:pPr>
        <w:spacing w:before="100" w:beforeAutospacing="1" w:after="100" w:afterAutospacing="1" w:line="360" w:lineRule="auto"/>
        <w:ind w:left="720"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Sumber: Goldin (2016)</w:t>
      </w:r>
    </w:p>
    <w:p w14:paraId="6C9B8B39" w14:textId="77777777" w:rsidR="00070DD1" w:rsidRDefault="00000000">
      <w:pPr>
        <w:keepNext/>
        <w:keepLines/>
        <w:numPr>
          <w:ilvl w:val="0"/>
          <w:numId w:val="11"/>
        </w:numPr>
        <w:spacing w:before="40" w:line="259" w:lineRule="auto"/>
        <w:outlineLvl w:val="1"/>
        <w:rPr>
          <w:rFonts w:ascii="Times New Roman" w:eastAsia="DengXian Light" w:hAnsi="Times New Roman" w:cs="Times New Roman"/>
          <w:sz w:val="24"/>
          <w:szCs w:val="24"/>
          <w:lang w:eastAsia="en-US"/>
        </w:rPr>
      </w:pPr>
      <w:bookmarkStart w:id="26" w:name="_Toc120540043"/>
      <w:r>
        <w:rPr>
          <w:rFonts w:ascii="Times New Roman" w:eastAsia="DengXian Light" w:hAnsi="Times New Roman" w:cs="Times New Roman"/>
          <w:sz w:val="24"/>
          <w:szCs w:val="24"/>
          <w:lang w:eastAsia="en-US"/>
        </w:rPr>
        <w:t>Manfaat Probiotik pada Kesehatan gigi dan rongga mulut</w:t>
      </w:r>
      <w:bookmarkEnd w:id="26"/>
    </w:p>
    <w:p w14:paraId="2638F3CF"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71EE0777"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Makanan atau minuman yang mengandung unsur probiotik dapat dijadikan pilihan pencegahan karies gigi (Jain dan Sharma, 2012). </w:t>
      </w:r>
    </w:p>
    <w:p w14:paraId="53A15412"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Probiotik akhir-akhir ini digunakan dalam bidang kedokteran gigi sebagai terapi pencegahan karies gigi karena bakteri probiotik melekat pada jaringan gigi sebagai bagian dari biofilm dan bersaing dengan bakteri patogen, selain itu merupakan perawatan yang alami sehingga memiliki efek samping yang minimal (Pandya, 2016).</w:t>
      </w:r>
    </w:p>
    <w:p w14:paraId="6F23097B"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Probiotik juga dapat memodifikasi lingkungan sekitarnya dengan memodifikasi </w:t>
      </w:r>
      <w:r>
        <w:rPr>
          <w:rFonts w:ascii="Times New Roman" w:eastAsia="Calibri" w:hAnsi="Times New Roman" w:cs="Times New Roman"/>
          <w:i/>
          <w:iCs/>
          <w:sz w:val="24"/>
          <w:szCs w:val="24"/>
          <w:lang w:eastAsia="en-US"/>
        </w:rPr>
        <w:t>pH</w:t>
      </w:r>
      <w:r>
        <w:rPr>
          <w:rFonts w:ascii="Times New Roman" w:eastAsia="Calibri" w:hAnsi="Times New Roman" w:cs="Times New Roman"/>
          <w:sz w:val="24"/>
          <w:szCs w:val="24"/>
          <w:lang w:eastAsia="en-US"/>
        </w:rPr>
        <w:t xml:space="preserve"> rongga mulut dan potensi reduksi-oksidasi yang </w:t>
      </w:r>
      <w:r>
        <w:rPr>
          <w:rFonts w:ascii="Times New Roman" w:eastAsia="Calibri" w:hAnsi="Times New Roman" w:cs="Times New Roman"/>
          <w:sz w:val="24"/>
          <w:szCs w:val="24"/>
          <w:lang w:eastAsia="en-US"/>
        </w:rPr>
        <w:lastRenderedPageBreak/>
        <w:t>membahayakan kemampuan bakteri patogen untuk berkembang, sehingga menghasilkan efek menguntungkan dari probiotik berupa rangsangan kekebalan nonspesifik (Bonifait et al, 2012)</w:t>
      </w:r>
    </w:p>
    <w:p w14:paraId="2E2FB6CF" w14:textId="77777777" w:rsidR="00070DD1" w:rsidRDefault="00000000">
      <w:pPr>
        <w:keepNext/>
        <w:keepLines/>
        <w:numPr>
          <w:ilvl w:val="0"/>
          <w:numId w:val="11"/>
        </w:numPr>
        <w:spacing w:before="40" w:line="259" w:lineRule="auto"/>
        <w:outlineLvl w:val="1"/>
        <w:rPr>
          <w:rFonts w:ascii="Times New Roman" w:eastAsia="DengXian Light" w:hAnsi="Times New Roman" w:cs="Times New Roman"/>
          <w:sz w:val="24"/>
          <w:szCs w:val="24"/>
          <w:lang w:eastAsia="en-US"/>
        </w:rPr>
      </w:pPr>
      <w:bookmarkStart w:id="27" w:name="_Toc120540044"/>
      <w:r>
        <w:rPr>
          <w:rFonts w:ascii="Times New Roman" w:eastAsia="DengXian Light" w:hAnsi="Times New Roman" w:cs="Times New Roman"/>
          <w:sz w:val="24"/>
          <w:szCs w:val="24"/>
          <w:lang w:eastAsia="en-US"/>
        </w:rPr>
        <w:t>Tablet Probiotik</w:t>
      </w:r>
      <w:bookmarkEnd w:id="27"/>
    </w:p>
    <w:p w14:paraId="7784F83D" w14:textId="77777777" w:rsidR="00070DD1" w:rsidRDefault="00070DD1">
      <w:pPr>
        <w:keepNext/>
        <w:keepLines/>
        <w:spacing w:before="40" w:line="259" w:lineRule="auto"/>
        <w:ind w:left="360"/>
        <w:outlineLvl w:val="1"/>
        <w:rPr>
          <w:rFonts w:ascii="Times New Roman" w:eastAsia="DengXian Light" w:hAnsi="Times New Roman" w:cs="Times New Roman"/>
          <w:sz w:val="24"/>
          <w:szCs w:val="24"/>
          <w:lang w:eastAsia="en-US"/>
        </w:rPr>
      </w:pPr>
    </w:p>
    <w:p w14:paraId="43344295" w14:textId="77777777" w:rsidR="00070DD1" w:rsidRDefault="00000000">
      <w:pPr>
        <w:spacing w:before="100" w:beforeAutospacing="1" w:after="100" w:afterAutospacing="1" w:line="480" w:lineRule="auto"/>
        <w:ind w:left="810" w:firstLine="630"/>
        <w:contextualSpacing/>
        <w:jc w:val="both"/>
        <w:rPr>
          <w:rFonts w:ascii="Times New Roman" w:eastAsia="Trebuchet MS" w:hAnsi="Times New Roman" w:cs="Times New Roman"/>
          <w:color w:val="202124"/>
          <w:sz w:val="24"/>
          <w:szCs w:val="24"/>
          <w:lang w:eastAsia="en-US"/>
        </w:rPr>
      </w:pPr>
      <w:r>
        <w:rPr>
          <w:rFonts w:ascii="Times New Roman" w:eastAsia="Trebuchet MS" w:hAnsi="Times New Roman" w:cs="Times New Roman"/>
          <w:color w:val="202124"/>
          <w:sz w:val="24"/>
          <w:szCs w:val="24"/>
          <w:lang w:val="id-ID" w:eastAsia="en-US"/>
        </w:rPr>
        <w:t xml:space="preserve">Tablet probiotik (BioGaia AB, Lund, Swedia) mengandung dua strain </w:t>
      </w:r>
      <w:r>
        <w:rPr>
          <w:rFonts w:ascii="Times New Roman" w:eastAsia="Trebuchet MS" w:hAnsi="Times New Roman" w:cs="Times New Roman"/>
          <w:i/>
          <w:iCs/>
          <w:color w:val="202124"/>
          <w:sz w:val="24"/>
          <w:szCs w:val="24"/>
          <w:lang w:val="id-ID" w:eastAsia="en-US"/>
        </w:rPr>
        <w:t>Lactobacillus reuteri</w:t>
      </w:r>
      <w:r>
        <w:rPr>
          <w:rFonts w:ascii="Times New Roman" w:eastAsia="Trebuchet MS" w:hAnsi="Times New Roman" w:cs="Times New Roman"/>
          <w:color w:val="202124"/>
          <w:sz w:val="24"/>
          <w:szCs w:val="24"/>
          <w:lang w:val="id-ID" w:eastAsia="en-US"/>
        </w:rPr>
        <w:t xml:space="preserve"> (DSM 17938 dan ATCC PTA 5289) dengan dosis masing-masing 1 × 10</w:t>
      </w:r>
      <w:r>
        <w:rPr>
          <w:rFonts w:ascii="Times New Roman" w:eastAsia="Trebuchet MS" w:hAnsi="Times New Roman" w:cs="Times New Roman"/>
          <w:color w:val="202124"/>
          <w:sz w:val="24"/>
          <w:szCs w:val="24"/>
          <w:vertAlign w:val="superscript"/>
          <w:lang w:val="id-ID" w:eastAsia="en-US"/>
        </w:rPr>
        <w:t>8</w:t>
      </w:r>
      <w:r>
        <w:rPr>
          <w:rFonts w:ascii="Times New Roman" w:eastAsia="Trebuchet MS" w:hAnsi="Times New Roman" w:cs="Times New Roman"/>
          <w:color w:val="202124"/>
          <w:sz w:val="24"/>
          <w:szCs w:val="24"/>
          <w:lang w:val="id-ID" w:eastAsia="en-US"/>
        </w:rPr>
        <w:t xml:space="preserve"> CFU/tablet</w:t>
      </w:r>
      <w:r>
        <w:rPr>
          <w:rFonts w:ascii="Times New Roman" w:eastAsia="Trebuchet MS" w:hAnsi="Times New Roman" w:cs="Times New Roman"/>
          <w:color w:val="202124"/>
          <w:sz w:val="24"/>
          <w:szCs w:val="24"/>
          <w:lang w:eastAsia="en-US"/>
        </w:rPr>
        <w:t xml:space="preserve"> . D</w:t>
      </w:r>
      <w:r>
        <w:rPr>
          <w:rFonts w:ascii="Times New Roman" w:eastAsia="Calibri" w:hAnsi="Times New Roman" w:cs="Times New Roman"/>
          <w:color w:val="333333"/>
          <w:sz w:val="24"/>
          <w:szCs w:val="24"/>
          <w:shd w:val="clear" w:color="auto" w:fill="FFFFFF"/>
          <w:lang w:eastAsia="en-US"/>
        </w:rPr>
        <w:t xml:space="preserve">ua ilmuwan Sven Lindgren dan Walt Dobrogosz tahun 1980  menemukan sifat penting dan efek positif pada </w:t>
      </w:r>
      <w:r>
        <w:rPr>
          <w:rFonts w:ascii="Times New Roman" w:eastAsia="Trebuchet MS" w:hAnsi="Times New Roman" w:cs="Times New Roman"/>
          <w:i/>
          <w:iCs/>
          <w:color w:val="202124"/>
          <w:sz w:val="24"/>
          <w:szCs w:val="24"/>
          <w:lang w:val="id-ID" w:eastAsia="en-US"/>
        </w:rPr>
        <w:t>Lactobacillus reuteri</w:t>
      </w:r>
      <w:r>
        <w:rPr>
          <w:rFonts w:ascii="Times New Roman" w:eastAsia="Trebuchet MS" w:hAnsi="Times New Roman" w:cs="Times New Roman"/>
          <w:i/>
          <w:iCs/>
          <w:color w:val="202124"/>
          <w:sz w:val="24"/>
          <w:szCs w:val="24"/>
          <w:lang w:eastAsia="en-US"/>
        </w:rPr>
        <w:t>.</w:t>
      </w:r>
    </w:p>
    <w:p w14:paraId="46EB22DF" w14:textId="77777777" w:rsidR="00070DD1" w:rsidRDefault="00000000">
      <w:pPr>
        <w:spacing w:before="100" w:beforeAutospacing="1" w:after="100" w:afterAutospacing="1" w:line="480" w:lineRule="auto"/>
        <w:ind w:left="810" w:firstLine="630"/>
        <w:contextualSpacing/>
        <w:jc w:val="both"/>
        <w:rPr>
          <w:rFonts w:ascii="Times New Roman" w:eastAsia="Trebuchet MS" w:hAnsi="Times New Roman" w:cs="Times New Roman"/>
          <w:color w:val="202124"/>
          <w:sz w:val="24"/>
          <w:szCs w:val="24"/>
          <w:lang w:eastAsia="en-US"/>
        </w:rPr>
      </w:pPr>
      <w:r>
        <w:rPr>
          <w:rFonts w:ascii="Times New Roman" w:eastAsia="Calibri" w:hAnsi="Times New Roman" w:cs="Times New Roman"/>
          <w:sz w:val="24"/>
          <w:szCs w:val="24"/>
          <w:lang w:eastAsia="en-US"/>
        </w:rPr>
        <w:t>Konsep</w:t>
      </w:r>
      <w:r>
        <w:rPr>
          <w:rFonts w:ascii="Times New Roman" w:eastAsia="Calibri" w:hAnsi="Times New Roman" w:cs="Times New Roman"/>
          <w:i/>
          <w:iCs/>
          <w:sz w:val="24"/>
          <w:szCs w:val="24"/>
          <w:lang w:eastAsia="en-US"/>
        </w:rPr>
        <w:t xml:space="preserve"> Oral Bacterial Therapy </w:t>
      </w:r>
      <w:r>
        <w:rPr>
          <w:rFonts w:ascii="Times New Roman" w:eastAsia="Calibri" w:hAnsi="Times New Roman" w:cs="Times New Roman"/>
          <w:sz w:val="24"/>
          <w:szCs w:val="24"/>
          <w:lang w:eastAsia="en-US"/>
        </w:rPr>
        <w:t>adalah manajemen keseimbangan bakteri di mulut dengan suplementasi bakteri baik atau probiotik, dikenal sebagai BioGaia ProDentis diluar Indonesia) adalah produk probiotik teruji klinis pertama dan satu-satunya untuk kesehatan gigi dan mulut.</w:t>
      </w:r>
    </w:p>
    <w:p w14:paraId="45A5AF8F" w14:textId="77777777" w:rsidR="00070DD1" w:rsidRDefault="00000000">
      <w:pPr>
        <w:spacing w:before="100" w:beforeAutospacing="1" w:after="100" w:afterAutospacing="1" w:line="480" w:lineRule="auto"/>
        <w:ind w:left="810" w:firstLine="630"/>
        <w:contextualSpacing/>
        <w:jc w:val="both"/>
        <w:rPr>
          <w:rFonts w:ascii="Times New Roman" w:eastAsia="Calibri" w:hAnsi="Times New Roman" w:cs="Times New Roman"/>
          <w:b/>
          <w:bCs/>
          <w:color w:val="000000"/>
          <w:sz w:val="28"/>
          <w:szCs w:val="28"/>
          <w:lang w:eastAsia="en-US"/>
        </w:rPr>
      </w:pPr>
      <w:r>
        <w:rPr>
          <w:rFonts w:ascii="Times New Roman" w:eastAsia="Trebuchet MS" w:hAnsi="Times New Roman" w:cs="Times New Roman"/>
          <w:color w:val="202124"/>
          <w:sz w:val="24"/>
          <w:szCs w:val="24"/>
          <w:lang w:eastAsia="en-US"/>
        </w:rPr>
        <w:t>T</w:t>
      </w:r>
      <w:r>
        <w:rPr>
          <w:rFonts w:ascii="Times New Roman" w:eastAsia="Calibri" w:hAnsi="Times New Roman" w:cs="Times New Roman"/>
          <w:sz w:val="24"/>
          <w:szCs w:val="24"/>
          <w:shd w:val="clear" w:color="auto" w:fill="FFFFFF"/>
          <w:lang w:eastAsia="en-US"/>
        </w:rPr>
        <w:t xml:space="preserve">ablet hisap probiotik sudah  aman  dan efikasinya untuk memelihara kesehatan rongga mulut dengan menjaga keseimbangan flora normal di dalam mulut. </w:t>
      </w:r>
    </w:p>
    <w:p w14:paraId="004CE608" w14:textId="77777777" w:rsidR="00070DD1" w:rsidRDefault="00000000">
      <w:pPr>
        <w:spacing w:after="160" w:line="259" w:lineRule="auto"/>
        <w:rPr>
          <w:rFonts w:ascii="Calibri" w:eastAsia="Calibri" w:hAnsi="Calibri" w:cs="Times New Roman"/>
          <w:sz w:val="22"/>
          <w:szCs w:val="22"/>
          <w:lang w:eastAsia="en-US"/>
        </w:rPr>
      </w:pPr>
      <w:r>
        <w:rPr>
          <w:rFonts w:ascii="Calibri" w:eastAsia="Calibri" w:hAnsi="Calibri" w:cs="Times New Roman"/>
          <w:noProof/>
          <w:sz w:val="22"/>
          <w:szCs w:val="22"/>
          <w:lang w:eastAsia="en-US"/>
        </w:rPr>
        <w:drawing>
          <wp:anchor distT="0" distB="0" distL="114300" distR="114300" simplePos="0" relativeHeight="251660288" behindDoc="1" locked="0" layoutInCell="1" allowOverlap="1" wp14:anchorId="7D499C45" wp14:editId="0BFD0479">
            <wp:simplePos x="0" y="0"/>
            <wp:positionH relativeFrom="column">
              <wp:posOffset>1379220</wp:posOffset>
            </wp:positionH>
            <wp:positionV relativeFrom="paragraph">
              <wp:posOffset>17780</wp:posOffset>
            </wp:positionV>
            <wp:extent cx="2327275" cy="1345565"/>
            <wp:effectExtent l="9525" t="9525" r="12700" b="165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17">
                      <a:extLst>
                        <a:ext uri="{28A0092B-C50C-407E-A947-70E740481C1C}">
                          <a14:useLocalDpi xmlns:a14="http://schemas.microsoft.com/office/drawing/2010/main" val="0"/>
                        </a:ext>
                      </a:extLst>
                    </a:blip>
                    <a:srcRect l="-16931" t="4446" r="-12346" b="9903"/>
                    <a:stretch>
                      <a:fillRect/>
                    </a:stretch>
                  </pic:blipFill>
                  <pic:spPr>
                    <a:xfrm>
                      <a:off x="0" y="0"/>
                      <a:ext cx="2327275" cy="1345565"/>
                    </a:xfrm>
                    <a:prstGeom prst="rect">
                      <a:avLst/>
                    </a:prstGeom>
                    <a:noFill/>
                    <a:ln w="3175">
                      <a:solidFill>
                        <a:schemeClr val="tx1"/>
                      </a:solidFill>
                    </a:ln>
                  </pic:spPr>
                </pic:pic>
              </a:graphicData>
            </a:graphic>
          </wp:anchor>
        </w:drawing>
      </w:r>
    </w:p>
    <w:p w14:paraId="212175A8" w14:textId="77777777" w:rsidR="00070DD1" w:rsidRDefault="00070DD1">
      <w:pPr>
        <w:spacing w:after="160" w:line="259" w:lineRule="auto"/>
        <w:rPr>
          <w:rFonts w:ascii="Calibri" w:eastAsia="Calibri" w:hAnsi="Calibri" w:cs="Times New Roman"/>
          <w:sz w:val="22"/>
          <w:szCs w:val="22"/>
          <w:lang w:eastAsia="en-US"/>
        </w:rPr>
      </w:pPr>
    </w:p>
    <w:p w14:paraId="1BAB8314" w14:textId="77777777" w:rsidR="00070DD1" w:rsidRDefault="00070DD1">
      <w:pPr>
        <w:spacing w:after="160" w:line="259" w:lineRule="auto"/>
        <w:rPr>
          <w:rFonts w:ascii="Calibri" w:eastAsia="Calibri" w:hAnsi="Calibri" w:cs="Times New Roman"/>
          <w:sz w:val="22"/>
          <w:szCs w:val="22"/>
          <w:lang w:eastAsia="en-US"/>
        </w:rPr>
      </w:pPr>
    </w:p>
    <w:p w14:paraId="1DD05E59" w14:textId="77777777" w:rsidR="00070DD1" w:rsidRDefault="00070DD1">
      <w:pPr>
        <w:spacing w:after="160" w:line="259" w:lineRule="auto"/>
        <w:rPr>
          <w:rFonts w:ascii="Calibri" w:eastAsia="Calibri" w:hAnsi="Calibri" w:cs="Times New Roman"/>
          <w:sz w:val="22"/>
          <w:szCs w:val="22"/>
          <w:lang w:eastAsia="en-US"/>
        </w:rPr>
      </w:pPr>
    </w:p>
    <w:p w14:paraId="5DC04C21" w14:textId="77777777" w:rsidR="00070DD1" w:rsidRDefault="00070DD1">
      <w:pPr>
        <w:spacing w:after="160" w:line="259" w:lineRule="auto"/>
        <w:jc w:val="center"/>
        <w:rPr>
          <w:rFonts w:ascii="Times New Roman" w:eastAsia="DengXian Light" w:hAnsi="Times New Roman" w:cs="Times New Roman"/>
          <w:b/>
          <w:bCs/>
          <w:color w:val="000000"/>
          <w:sz w:val="28"/>
          <w:szCs w:val="28"/>
          <w:lang w:eastAsia="en-US"/>
        </w:rPr>
      </w:pPr>
    </w:p>
    <w:p w14:paraId="353578FD" w14:textId="77777777" w:rsidR="00070DD1" w:rsidRDefault="00000000">
      <w:pPr>
        <w:ind w:left="810"/>
        <w:contextualSpacing/>
        <w:jc w:val="center"/>
        <w:rPr>
          <w:rFonts w:ascii="TimesNewRomanPS-ItalicMT" w:eastAsia="Calibri" w:hAnsi="TimesNewRomanPS-ItalicMT" w:cs="TimesNewRomanPS-ItalicMT"/>
          <w:i/>
          <w:iCs/>
          <w:sz w:val="23"/>
          <w:szCs w:val="23"/>
          <w:lang w:eastAsia="en-US"/>
        </w:rPr>
      </w:pPr>
      <w:r>
        <w:rPr>
          <w:rFonts w:ascii="Times New Roman" w:eastAsia="Calibri" w:hAnsi="Times New Roman" w:cs="Times New Roman"/>
          <w:sz w:val="24"/>
          <w:szCs w:val="24"/>
          <w:shd w:val="clear" w:color="auto" w:fill="FFFFFF"/>
          <w:lang w:eastAsia="en-US"/>
        </w:rPr>
        <w:t xml:space="preserve">Gambar 2.3 : Tablet Probiotik ( </w:t>
      </w:r>
      <w:r>
        <w:rPr>
          <w:rFonts w:ascii="TimesNewRomanPS-ItalicMT" w:eastAsia="Calibri" w:hAnsi="TimesNewRomanPS-ItalicMT" w:cs="TimesNewRomanPS-ItalicMT"/>
          <w:i/>
          <w:iCs/>
          <w:sz w:val="23"/>
          <w:szCs w:val="23"/>
          <w:lang w:eastAsia="en-US"/>
        </w:rPr>
        <w:t>Lactobacillus reuteri)</w:t>
      </w:r>
    </w:p>
    <w:p w14:paraId="5F6F4412" w14:textId="77777777" w:rsidR="00070DD1" w:rsidRDefault="00070DD1">
      <w:pPr>
        <w:ind w:left="810"/>
        <w:contextualSpacing/>
        <w:jc w:val="center"/>
        <w:rPr>
          <w:rFonts w:ascii="TimesNewRomanPS-ItalicMT" w:eastAsia="Calibri" w:hAnsi="TimesNewRomanPS-ItalicMT" w:cs="TimesNewRomanPS-ItalicMT"/>
          <w:sz w:val="23"/>
          <w:szCs w:val="23"/>
          <w:lang w:eastAsia="en-US"/>
        </w:rPr>
      </w:pPr>
    </w:p>
    <w:p w14:paraId="4A934F4A" w14:textId="5CEA6033" w:rsidR="00070DD1" w:rsidRDefault="00000000">
      <w:pPr>
        <w:jc w:val="center"/>
        <w:outlineLvl w:val="0"/>
        <w:sectPr w:rsidR="00070DD1">
          <w:headerReference w:type="default" r:id="rId18"/>
          <w:footerReference w:type="default" r:id="rId19"/>
          <w:pgSz w:w="11906" w:h="16838"/>
          <w:pgMar w:top="2160" w:right="1728" w:bottom="1728" w:left="2160" w:header="720" w:footer="720" w:gutter="0"/>
          <w:pgNumType w:start="14" w:chapStyle="1"/>
          <w:cols w:space="720"/>
          <w:docGrid w:linePitch="360"/>
        </w:sectPr>
      </w:pPr>
      <w:bookmarkStart w:id="28" w:name="_Toc16678"/>
      <w:r>
        <w:rPr>
          <w:rFonts w:ascii="TimesNewRomanPS-ItalicMT" w:eastAsia="Calibri" w:hAnsi="TimesNewRomanPS-ItalicMT" w:cs="TimesNewRomanPS-ItalicMT"/>
          <w:sz w:val="23"/>
          <w:szCs w:val="23"/>
          <w:lang w:eastAsia="en-US"/>
        </w:rPr>
        <w:t>Sumber : Interbat , 202</w:t>
      </w:r>
      <w:bookmarkEnd w:id="28"/>
      <w:r w:rsidR="001E660E">
        <w:rPr>
          <w:rFonts w:ascii="TimesNewRomanPS-ItalicMT" w:eastAsia="Calibri" w:hAnsi="TimesNewRomanPS-ItalicMT" w:cs="TimesNewRomanPS-ItalicMT"/>
          <w:sz w:val="23"/>
          <w:szCs w:val="23"/>
          <w:lang w:eastAsia="en-US"/>
        </w:rPr>
        <w:t>2</w:t>
      </w:r>
    </w:p>
    <w:p w14:paraId="1055A12D" w14:textId="77777777" w:rsidR="00070DD1" w:rsidRDefault="00070DD1">
      <w:pPr>
        <w:spacing w:before="240" w:after="120" w:line="480" w:lineRule="auto"/>
        <w:contextualSpacing/>
        <w:jc w:val="both"/>
        <w:rPr>
          <w:rFonts w:ascii="Times New Roman" w:eastAsia="Calibri" w:hAnsi="Times New Roman" w:cs="Times New Roman"/>
          <w:sz w:val="24"/>
          <w:szCs w:val="24"/>
          <w:lang w:eastAsia="en-US"/>
        </w:rPr>
      </w:pPr>
    </w:p>
    <w:p w14:paraId="40150647" w14:textId="77777777" w:rsidR="00070DD1" w:rsidRDefault="00070DD1">
      <w:pPr>
        <w:keepNext/>
        <w:keepLines/>
        <w:spacing w:before="40" w:line="480" w:lineRule="auto"/>
        <w:ind w:firstLine="720"/>
        <w:jc w:val="both"/>
        <w:outlineLvl w:val="1"/>
        <w:rPr>
          <w:rFonts w:ascii="Times New Roman" w:eastAsia="Calibri" w:hAnsi="Times New Roman" w:cs="Times New Roman"/>
          <w:sz w:val="24"/>
          <w:szCs w:val="24"/>
          <w:lang w:eastAsia="en-US"/>
        </w:rPr>
      </w:pPr>
    </w:p>
    <w:sectPr w:rsidR="00070DD1">
      <w:pgSz w:w="11906" w:h="16838"/>
      <w:pgMar w:top="2160" w:right="1757" w:bottom="1729"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99B4" w14:textId="77777777" w:rsidR="00C3105C" w:rsidRDefault="00C3105C">
      <w:r>
        <w:separator/>
      </w:r>
    </w:p>
  </w:endnote>
  <w:endnote w:type="continuationSeparator" w:id="0">
    <w:p w14:paraId="537B0FA0" w14:textId="77777777" w:rsidR="00C3105C" w:rsidRDefault="00C3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NewRomanPS-ItalicMT">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92C6" w14:textId="77777777" w:rsidR="00070DD1" w:rsidRDefault="00000000">
    <w:pPr>
      <w:pStyle w:val="Footer"/>
    </w:pPr>
    <w:r>
      <w:rPr>
        <w:noProof/>
      </w:rPr>
      <mc:AlternateContent>
        <mc:Choice Requires="wps">
          <w:drawing>
            <wp:anchor distT="0" distB="0" distL="114300" distR="114300" simplePos="0" relativeHeight="251659264" behindDoc="0" locked="0" layoutInCell="1" allowOverlap="1" wp14:anchorId="05065562" wp14:editId="5F064892">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4F547" w14:textId="77777777" w:rsidR="00070DD1" w:rsidRDefault="00000000">
                          <w:pPr>
                            <w:pStyle w:val="Foo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065562"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004F547" w14:textId="77777777" w:rsidR="00070DD1" w:rsidRDefault="00000000">
                    <w:pPr>
                      <w:pStyle w:val="Foo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8967" w14:textId="77777777" w:rsidR="00070DD1" w:rsidRDefault="00000000">
    <w:pPr>
      <w:tabs>
        <w:tab w:val="center" w:pos="4680"/>
        <w:tab w:val="right" w:pos="9360"/>
      </w:tabs>
      <w:jc w:val="center"/>
      <w:rPr>
        <w:rFonts w:ascii="Calibri" w:eastAsia="Calibri" w:hAnsi="Calibri" w:cs="Times New Roman"/>
        <w:sz w:val="22"/>
        <w:szCs w:val="22"/>
        <w:lang w:eastAsia="en-US"/>
      </w:rPr>
    </w:pPr>
    <w:r>
      <w:rPr>
        <w:noProof/>
        <w:sz w:val="22"/>
      </w:rPr>
      <mc:AlternateContent>
        <mc:Choice Requires="wps">
          <w:drawing>
            <wp:anchor distT="0" distB="0" distL="114300" distR="114300" simplePos="0" relativeHeight="251656192" behindDoc="0" locked="0" layoutInCell="1" allowOverlap="1" wp14:anchorId="0F1AFD2E" wp14:editId="196F9605">
              <wp:simplePos x="0" y="0"/>
              <wp:positionH relativeFrom="margin">
                <wp:align>center</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95EF8" w14:textId="77777777" w:rsidR="00070DD1" w:rsidRDefault="00000000">
                          <w:pPr>
                            <w:tabs>
                              <w:tab w:val="center" w:pos="4680"/>
                              <w:tab w:val="right" w:pos="9360"/>
                            </w:tabs>
                            <w:jc w:val="center"/>
                          </w:pPr>
                          <w:r>
                            <w:rPr>
                              <w:rFonts w:ascii="Calibri" w:eastAsia="Calibri" w:hAnsi="Calibri" w:cs="Times New Roman"/>
                              <w:sz w:val="22"/>
                              <w:szCs w:val="22"/>
                              <w:lang w:eastAsia="en-US"/>
                            </w:rPr>
                            <w:fldChar w:fldCharType="begin"/>
                          </w:r>
                          <w:r>
                            <w:rPr>
                              <w:rFonts w:ascii="Calibri" w:eastAsia="Calibri" w:hAnsi="Calibri" w:cs="Times New Roman"/>
                              <w:sz w:val="22"/>
                              <w:szCs w:val="22"/>
                              <w:lang w:eastAsia="en-US"/>
                            </w:rPr>
                            <w:instrText xml:space="preserve"> PAGE   \* MERGEFORMAT </w:instrText>
                          </w:r>
                          <w:r>
                            <w:rPr>
                              <w:rFonts w:ascii="Calibri" w:eastAsia="Calibri" w:hAnsi="Calibri" w:cs="Times New Roman"/>
                              <w:sz w:val="22"/>
                              <w:szCs w:val="22"/>
                              <w:lang w:eastAsia="en-US"/>
                            </w:rPr>
                            <w:fldChar w:fldCharType="separate"/>
                          </w:r>
                          <w:r>
                            <w:rPr>
                              <w:rFonts w:ascii="Calibri" w:eastAsia="Calibri" w:hAnsi="Calibri" w:cs="Times New Roman"/>
                              <w:sz w:val="22"/>
                              <w:szCs w:val="22"/>
                              <w:lang w:eastAsia="en-US"/>
                            </w:rPr>
                            <w:t>2</w:t>
                          </w:r>
                          <w:r>
                            <w:rPr>
                              <w:rFonts w:ascii="Calibri" w:eastAsia="Calibri" w:hAnsi="Calibri" w:cs="Times New Roman"/>
                              <w:sz w:val="22"/>
                              <w:szCs w:val="22"/>
                              <w:lang w:eastAsia="en-U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1AFD2E" id="_x0000_t202" coordsize="21600,21600" o:spt="202" path="m,l,21600r21600,l21600,xe">
              <v:stroke joinstyle="miter"/>
              <v:path gradientshapeok="t" o:connecttype="rect"/>
            </v:shapetype>
            <v:shape id="Text Box 5" o:spid="_x0000_s1027"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23F95EF8" w14:textId="77777777" w:rsidR="00070DD1" w:rsidRDefault="00000000">
                    <w:pPr>
                      <w:tabs>
                        <w:tab w:val="center" w:pos="4680"/>
                        <w:tab w:val="right" w:pos="9360"/>
                      </w:tabs>
                      <w:jc w:val="center"/>
                    </w:pPr>
                    <w:r>
                      <w:rPr>
                        <w:rFonts w:ascii="Calibri" w:eastAsia="Calibri" w:hAnsi="Calibri" w:cs="Times New Roman"/>
                        <w:sz w:val="22"/>
                        <w:szCs w:val="22"/>
                        <w:lang w:eastAsia="en-US"/>
                      </w:rPr>
                      <w:fldChar w:fldCharType="begin"/>
                    </w:r>
                    <w:r>
                      <w:rPr>
                        <w:rFonts w:ascii="Calibri" w:eastAsia="Calibri" w:hAnsi="Calibri" w:cs="Times New Roman"/>
                        <w:sz w:val="22"/>
                        <w:szCs w:val="22"/>
                        <w:lang w:eastAsia="en-US"/>
                      </w:rPr>
                      <w:instrText xml:space="preserve"> PAGE   \* MERGEFORMAT </w:instrText>
                    </w:r>
                    <w:r>
                      <w:rPr>
                        <w:rFonts w:ascii="Calibri" w:eastAsia="Calibri" w:hAnsi="Calibri" w:cs="Times New Roman"/>
                        <w:sz w:val="22"/>
                        <w:szCs w:val="22"/>
                        <w:lang w:eastAsia="en-US"/>
                      </w:rPr>
                      <w:fldChar w:fldCharType="separate"/>
                    </w:r>
                    <w:r>
                      <w:rPr>
                        <w:rFonts w:ascii="Calibri" w:eastAsia="Calibri" w:hAnsi="Calibri" w:cs="Times New Roman"/>
                        <w:sz w:val="22"/>
                        <w:szCs w:val="22"/>
                        <w:lang w:eastAsia="en-US"/>
                      </w:rPr>
                      <w:t>2</w:t>
                    </w:r>
                    <w:r>
                      <w:rPr>
                        <w:rFonts w:ascii="Calibri" w:eastAsia="Calibri" w:hAnsi="Calibri" w:cs="Times New Roman"/>
                        <w:sz w:val="22"/>
                        <w:szCs w:val="22"/>
                        <w:lang w:eastAsia="en-US"/>
                      </w:rPr>
                      <w:fldChar w:fldCharType="end"/>
                    </w:r>
                  </w:p>
                </w:txbxContent>
              </v:textbox>
              <w10:wrap anchorx="margin"/>
            </v:shape>
          </w:pict>
        </mc:Fallback>
      </mc:AlternateContent>
    </w:r>
  </w:p>
  <w:p w14:paraId="40D02FE6" w14:textId="77777777" w:rsidR="00070DD1" w:rsidRDefault="00070DD1">
    <w:pPr>
      <w:tabs>
        <w:tab w:val="center" w:pos="4680"/>
        <w:tab w:val="right" w:pos="9360"/>
      </w:tabs>
      <w:rPr>
        <w:rFonts w:ascii="Calibri" w:eastAsia="Calibri" w:hAnsi="Calibri" w:cs="Times New Roman"/>
        <w:sz w:val="22"/>
        <w:szCs w:val="22"/>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3D42" w14:textId="77777777" w:rsidR="00070DD1" w:rsidRDefault="00070D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E132" w14:textId="77777777" w:rsidR="00070DD1" w:rsidRDefault="00070D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DBAE" w14:textId="77777777" w:rsidR="00070DD1" w:rsidRDefault="00070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D79A" w14:textId="77777777" w:rsidR="00C3105C" w:rsidRDefault="00C3105C">
      <w:r>
        <w:separator/>
      </w:r>
    </w:p>
  </w:footnote>
  <w:footnote w:type="continuationSeparator" w:id="0">
    <w:p w14:paraId="6572BDCA" w14:textId="77777777" w:rsidR="00C3105C" w:rsidRDefault="00C31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319B" w14:textId="77777777" w:rsidR="00070DD1" w:rsidRDefault="00000000">
    <w:pPr>
      <w:pStyle w:val="Header"/>
    </w:pPr>
    <w:r>
      <w:rPr>
        <w:noProof/>
      </w:rPr>
      <mc:AlternateContent>
        <mc:Choice Requires="wps">
          <w:drawing>
            <wp:anchor distT="0" distB="0" distL="114300" distR="114300" simplePos="0" relativeHeight="251664384" behindDoc="0" locked="0" layoutInCell="1" allowOverlap="1" wp14:anchorId="68DAFC28" wp14:editId="3408692B">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7DD7D" w14:textId="77777777" w:rsidR="00070DD1" w:rsidRDefault="00000000">
                          <w:pPr>
                            <w:pStyle w:val="Head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DAFC28" id="_x0000_t202" coordsize="21600,21600" o:spt="202" path="m,l,21600r21600,l21600,xe">
              <v:stroke joinstyle="miter"/>
              <v:path gradientshapeok="t" o:connecttype="rect"/>
            </v:shapetype>
            <v:shape id="Text Box 4" o:spid="_x0000_s1028" type="#_x0000_t202" style="position:absolute;margin-left:92.8pt;margin-top:0;width:2in;height:2in;z-index:2516643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717DD7D" w14:textId="77777777" w:rsidR="00070DD1" w:rsidRDefault="00000000">
                    <w:pPr>
                      <w:pStyle w:val="Head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121D" w14:textId="77777777" w:rsidR="00070DD1" w:rsidRDefault="00000000">
    <w:pPr>
      <w:pStyle w:val="Header"/>
    </w:pPr>
    <w:r>
      <w:rPr>
        <w:noProof/>
      </w:rPr>
      <mc:AlternateContent>
        <mc:Choice Requires="wps">
          <w:drawing>
            <wp:anchor distT="0" distB="0" distL="114300" distR="114300" simplePos="0" relativeHeight="251661312" behindDoc="0" locked="0" layoutInCell="1" allowOverlap="1" wp14:anchorId="41B759E8" wp14:editId="3200F778">
              <wp:simplePos x="0" y="0"/>
              <wp:positionH relativeFrom="margin">
                <wp:align>right</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0C662" w14:textId="77777777" w:rsidR="00070DD1" w:rsidRDefault="00000000">
                          <w:pPr>
                            <w:pStyle w:val="Head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B759E8" id="_x0000_t202" coordsize="21600,21600" o:spt="202" path="m,l,21600r21600,l21600,xe">
              <v:stroke joinstyle="miter"/>
              <v:path gradientshapeok="t" o:connecttype="rect"/>
            </v:shapetype>
            <v:shape id="Text Box 16" o:spid="_x0000_s1029" type="#_x0000_t202" style="position:absolute;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950C662" w14:textId="77777777" w:rsidR="00070DD1" w:rsidRDefault="00000000">
                    <w:pPr>
                      <w:pStyle w:val="Head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90D1" w14:textId="77777777" w:rsidR="00070DD1" w:rsidRDefault="00000000">
    <w:pPr>
      <w:pStyle w:val="Header"/>
    </w:pPr>
    <w:r>
      <w:rPr>
        <w:noProof/>
      </w:rPr>
      <mc:AlternateContent>
        <mc:Choice Requires="wps">
          <w:drawing>
            <wp:anchor distT="0" distB="0" distL="114300" distR="114300" simplePos="0" relativeHeight="251662336" behindDoc="0" locked="0" layoutInCell="1" allowOverlap="1" wp14:anchorId="6A22766E" wp14:editId="472650DF">
              <wp:simplePos x="0" y="0"/>
              <wp:positionH relativeFrom="margin">
                <wp:align>right</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8404F" w14:textId="77777777" w:rsidR="00070DD1" w:rsidRDefault="00000000">
                          <w:pPr>
                            <w:pStyle w:val="Head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22766E" id="_x0000_t202" coordsize="21600,21600" o:spt="202" path="m,l,21600r21600,l21600,xe">
              <v:stroke joinstyle="miter"/>
              <v:path gradientshapeok="t" o:connecttype="rect"/>
            </v:shapetype>
            <v:shape id="Text Box 17" o:spid="_x0000_s1030" type="#_x0000_t202" style="position:absolute;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2C38404F" w14:textId="77777777" w:rsidR="00070DD1" w:rsidRDefault="00000000">
                    <w:pPr>
                      <w:pStyle w:val="Head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052B"/>
    <w:multiLevelType w:val="multilevel"/>
    <w:tmpl w:val="142F052B"/>
    <w:lvl w:ilvl="0">
      <w:start w:val="1"/>
      <w:numFmt w:val="upp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2D1425"/>
    <w:multiLevelType w:val="multilevel"/>
    <w:tmpl w:val="192D1425"/>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35326C35"/>
    <w:multiLevelType w:val="multilevel"/>
    <w:tmpl w:val="35326C35"/>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40A119EF"/>
    <w:multiLevelType w:val="multilevel"/>
    <w:tmpl w:val="40A119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CA79BB"/>
    <w:multiLevelType w:val="multilevel"/>
    <w:tmpl w:val="4ACA79BB"/>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5" w15:restartNumberingAfterBreak="0">
    <w:nsid w:val="50DE7B6A"/>
    <w:multiLevelType w:val="singleLevel"/>
    <w:tmpl w:val="50DE7B6A"/>
    <w:lvl w:ilvl="0">
      <w:start w:val="1"/>
      <w:numFmt w:val="lowerLetter"/>
      <w:lvlText w:val="%1."/>
      <w:lvlJc w:val="left"/>
      <w:pPr>
        <w:tabs>
          <w:tab w:val="left" w:pos="425"/>
        </w:tabs>
        <w:ind w:left="425" w:hanging="425"/>
      </w:pPr>
      <w:rPr>
        <w:rFonts w:hint="default"/>
      </w:rPr>
    </w:lvl>
  </w:abstractNum>
  <w:abstractNum w:abstractNumId="6" w15:restartNumberingAfterBreak="0">
    <w:nsid w:val="63AE45B3"/>
    <w:multiLevelType w:val="multilevel"/>
    <w:tmpl w:val="63AE45B3"/>
    <w:lvl w:ilvl="0">
      <w:start w:val="1"/>
      <w:numFmt w:val="lowerLetter"/>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15:restartNumberingAfterBreak="0">
    <w:nsid w:val="64B376DF"/>
    <w:multiLevelType w:val="multilevel"/>
    <w:tmpl w:val="64B376DF"/>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8" w15:restartNumberingAfterBreak="0">
    <w:nsid w:val="6BE04246"/>
    <w:multiLevelType w:val="multilevel"/>
    <w:tmpl w:val="6BE0424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A0413C"/>
    <w:multiLevelType w:val="multilevel"/>
    <w:tmpl w:val="79A041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BF7B6C"/>
    <w:multiLevelType w:val="multilevel"/>
    <w:tmpl w:val="7CBF7B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5630206">
    <w:abstractNumId w:val="0"/>
  </w:num>
  <w:num w:numId="2" w16cid:durableId="1220508356">
    <w:abstractNumId w:val="9"/>
  </w:num>
  <w:num w:numId="3" w16cid:durableId="1767116329">
    <w:abstractNumId w:val="1"/>
  </w:num>
  <w:num w:numId="4" w16cid:durableId="469979524">
    <w:abstractNumId w:val="2"/>
  </w:num>
  <w:num w:numId="5" w16cid:durableId="1102064640">
    <w:abstractNumId w:val="5"/>
  </w:num>
  <w:num w:numId="6" w16cid:durableId="51077224">
    <w:abstractNumId w:val="3"/>
  </w:num>
  <w:num w:numId="7" w16cid:durableId="1548373758">
    <w:abstractNumId w:val="6"/>
  </w:num>
  <w:num w:numId="8" w16cid:durableId="625935563">
    <w:abstractNumId w:val="8"/>
  </w:num>
  <w:num w:numId="9" w16cid:durableId="1984657536">
    <w:abstractNumId w:val="7"/>
  </w:num>
  <w:num w:numId="10" w16cid:durableId="945038892">
    <w:abstractNumId w:val="4"/>
  </w:num>
  <w:num w:numId="11" w16cid:durableId="1030641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5335CF3"/>
    <w:rsid w:val="00070DD1"/>
    <w:rsid w:val="001E660E"/>
    <w:rsid w:val="007E6B0F"/>
    <w:rsid w:val="00B2533A"/>
    <w:rsid w:val="00B96908"/>
    <w:rsid w:val="00BB1D6C"/>
    <w:rsid w:val="00C3105C"/>
    <w:rsid w:val="05335CF3"/>
    <w:rsid w:val="1952579F"/>
    <w:rsid w:val="216243D3"/>
    <w:rsid w:val="24920423"/>
    <w:rsid w:val="27C85960"/>
    <w:rsid w:val="5DB04615"/>
    <w:rsid w:val="72442685"/>
    <w:rsid w:val="7BE03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0BB94F3"/>
  <w15:docId w15:val="{E28776F5-2C74-4FA4-A90F-51A33365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table" w:customStyle="1" w:styleId="PlainTable21">
    <w:name w:val="Plain Table 21"/>
    <w:uiPriority w:val="42"/>
    <w:qFormat/>
    <w:tblPr>
      <w:tblBorders>
        <w:top w:val="single" w:sz="4" w:space="0" w:color="7E7E7E"/>
        <w:bottom w:val="single" w:sz="4" w:space="0" w:color="7E7E7E"/>
      </w:tblBorders>
      <w:tblCellMar>
        <w:top w:w="0" w:type="dxa"/>
        <w:left w:w="0" w:type="dxa"/>
        <w:bottom w:w="0" w:type="dxa"/>
        <w:right w:w="0" w:type="dxa"/>
      </w:tblCellMar>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FDEA4-D158-4798-9616-811A01CE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2976</Words>
  <Characters>16969</Characters>
  <Application>Microsoft Office Word</Application>
  <DocSecurity>0</DocSecurity>
  <Lines>141</Lines>
  <Paragraphs>39</Paragraphs>
  <ScaleCrop>false</ScaleCrop>
  <Company/>
  <LinksUpToDate>false</LinksUpToDate>
  <CharactersWithSpaces>19906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kemen</dc:creator>
  <cp:lastModifiedBy>Parekraf</cp:lastModifiedBy>
  <cp:revision>6</cp:revision>
  <dcterms:created xsi:type="dcterms:W3CDTF">2023-02-07T13:40:00Z</dcterms:created>
  <dcterms:modified xsi:type="dcterms:W3CDTF">2023-02-24T05:22:00Z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AE922ABF8886488C89DECECD5F3C2EB3</vt:lpwstr>
  </property>
</Properties>
</file>