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A8" w:rsidRDefault="00972AA8" w:rsidP="00972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5746750</wp:posOffset>
                </wp:positionH>
                <wp:positionV relativeFrom="paragraph">
                  <wp:posOffset>-474345</wp:posOffset>
                </wp:positionV>
                <wp:extent cx="225425" cy="180975"/>
                <wp:effectExtent l="3175" t="1905" r="0" b="762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80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0DFC5E" id="Rounded Rectangle 2" o:spid="_x0000_s1026" style="position:absolute;margin-left:452.5pt;margin-top:-37.35pt;width:17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" stroked="f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972AA8" w:rsidRDefault="00972AA8" w:rsidP="00972A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Andersen, R. </w:t>
      </w:r>
      <w:r>
        <w:rPr>
          <w:rFonts w:ascii="Times New Roman" w:eastAsia="SimHei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Neuman, J. F. 1975. Societal and Individual Determinants of Medical Care Utilization in the United States</w:t>
      </w:r>
      <w:r>
        <w:rPr>
          <w:rFonts w:ascii="Times New Roman" w:hAnsi="Times New Roman" w:cs="Times New Roman"/>
          <w:i/>
          <w:sz w:val="24"/>
          <w:szCs w:val="24"/>
        </w:rPr>
        <w:t xml:space="preserve">. Milbank Memorial Fund </w:t>
      </w:r>
      <w:r>
        <w:rPr>
          <w:rFonts w:ascii="Times New Roman" w:hAnsi="Times New Roman" w:cs="Times New Roman"/>
          <w:i/>
          <w:sz w:val="24"/>
          <w:szCs w:val="24"/>
        </w:rPr>
        <w:tab/>
        <w:t>Quaterly/Health and Society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Aziz Audi, S, 200. Upaya Menghimpun dan Melestarikan Donor Darah. Buletin</w:t>
      </w:r>
      <w:r>
        <w:rPr>
          <w:rFonts w:ascii="Times New Roman" w:hAnsi="Times New Roman" w:cs="Times New Roman"/>
          <w:sz w:val="24"/>
          <w:szCs w:val="24"/>
        </w:rPr>
        <w:tab/>
        <w:t>TransfusiDarah No. 279/November Tahun ke XXXVII, UTD – PMIPusat. Jakarta.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Contreas M,1995.Petunjuk Transfusi Darah. Jakrta : EGC. 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Lee, 2006, Perception of Blood Transfusion Risk, Transfusion Medicine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Reviews, Vol 20, No 2, pp.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Depkes RI, 2008. Pengertian Transfusi Darah. Jakarta. www. Pmi.co.id.</w:t>
      </w:r>
    </w:p>
    <w:p w:rsidR="00972AA8" w:rsidRDefault="00972AA8" w:rsidP="00972AA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Depkes RI, 2009. Donor Darah, Hidup Sehat Sambil Beramal. Jakarta. </w:t>
      </w:r>
    </w:p>
    <w:p w:rsidR="00972AA8" w:rsidRDefault="00972AA8" w:rsidP="00972AA8">
      <w:pPr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>www.</w:t>
      </w:r>
      <w:hyperlink r:id="rId4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 w:themeFill="background1"/>
          </w:rPr>
          <w:t>Redaksi@neraca.co.id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972AA8" w:rsidRDefault="00972AA8" w:rsidP="00972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Elfazia,2009. Transfusi Darah,</w:t>
      </w:r>
    </w:p>
    <w:p w:rsidR="00972AA8" w:rsidRDefault="00972AA8" w:rsidP="00972AA8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www. depkes go.id/download.php/pusdatin/infodatin/donor darah.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Frewer, L.J., Howard, C. Hedderley,D. </w:t>
      </w:r>
      <w:r>
        <w:rPr>
          <w:rFonts w:ascii="Times New Roman" w:eastAsia="SimHei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Shepherd,R,1996,What DeterminesTrust in Information About Food-Related Risks ? Underlying </w:t>
      </w:r>
      <w:r>
        <w:rPr>
          <w:rFonts w:ascii="Times New Roman" w:hAnsi="Times New Roman" w:cs="Times New Roman"/>
          <w:sz w:val="24"/>
          <w:szCs w:val="24"/>
        </w:rPr>
        <w:tab/>
        <w:t>Psychological Constructs, Risks Analysis.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Healy, KJ,2006. Last Best Gifts : Altruism and Themarket for Human Blood and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Organs, Chicago, University of Chicago Press. 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Jungermaun, H., Pfster, H.R..Credibility, Information References, and </w:t>
      </w:r>
      <w:r>
        <w:rPr>
          <w:rFonts w:ascii="Times New Roman" w:hAnsi="Times New Roman" w:cs="Times New Roman"/>
          <w:sz w:val="24"/>
          <w:szCs w:val="24"/>
        </w:rPr>
        <w:tab/>
        <w:t>Information Interests, Risk Analysis.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Ketan Shevde, MD, Murali Pagala, PhD, Ananth Kashikar, MD, ChangaTyagaraj, MS, Noreen Shahbaz, MD, Muhammad Iqbal, MD, Raghu </w:t>
      </w:r>
      <w:r>
        <w:rPr>
          <w:rFonts w:ascii="Times New Roman" w:hAnsi="Times New Roman" w:cs="Times New Roman"/>
          <w:sz w:val="24"/>
          <w:szCs w:val="24"/>
        </w:rPr>
        <w:tab/>
        <w:t xml:space="preserve">Idupuganti, 2000, </w:t>
      </w:r>
      <w:r>
        <w:rPr>
          <w:rFonts w:ascii="Times New Roman" w:hAnsi="Times New Roman" w:cs="Times New Roman"/>
          <w:i/>
          <w:sz w:val="24"/>
          <w:szCs w:val="24"/>
        </w:rPr>
        <w:t>Green is an Essential Determinant of Blood Transfusionin Patients Undergoing Coronary Artery Bypass Graft Procedure</w:t>
      </w:r>
      <w:r>
        <w:rPr>
          <w:rFonts w:ascii="Times New Roman" w:hAnsi="Times New Roman" w:cs="Times New Roman"/>
          <w:sz w:val="24"/>
          <w:szCs w:val="24"/>
        </w:rPr>
        <w:t>, Journal of Clinical Anesthesia.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Masser BM, White KM, Hyde MK, et al,. Predicting Blood Donation Intentions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and Behavior Among Australia Blood Donors : Testing and Extended Theory of Planned Behavior Model. Transfusion, 2008 ; 49 (2) : 320-329.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MD. Richard D.H. Walker, 1993. Faktor-Faktor yang Mempengaruhi Pendonor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Darah Sukarela Pada </w:t>
      </w:r>
      <w:r>
        <w:rPr>
          <w:rFonts w:ascii="Times New Roman" w:hAnsi="Times New Roman" w:cs="Times New Roman"/>
          <w:sz w:val="24"/>
          <w:szCs w:val="24"/>
        </w:rPr>
        <w:tab/>
        <w:t xml:space="preserve">Masyarakat Pribumi dan Non Pribumi di Unit Transfusi Darah Palang Merah Indonesia,.Tesis, Liliana Puspita Sari, </w:t>
      </w:r>
      <w:r>
        <w:rPr>
          <w:rFonts w:ascii="Times New Roman" w:hAnsi="Times New Roman" w:cs="Times New Roman"/>
          <w:sz w:val="24"/>
          <w:szCs w:val="24"/>
        </w:rPr>
        <w:tab/>
        <w:t>2012. Medan.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5711825</wp:posOffset>
                </wp:positionH>
                <wp:positionV relativeFrom="paragraph">
                  <wp:posOffset>-474345</wp:posOffset>
                </wp:positionV>
                <wp:extent cx="259715" cy="226060"/>
                <wp:effectExtent l="6350" t="1905" r="635" b="63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26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4E81D3" id="Rounded Rectangle 1" o:spid="_x0000_s1026" style="position:absolute;margin-left:449.75pt;margin-top:-37.35pt;width:20.4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" strok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Munandar Haris, 2008. Mengenal Palang Merah Indonesia (PMI) </w:t>
      </w:r>
      <w:r>
        <w:rPr>
          <w:rFonts w:ascii="Times New Roman" w:eastAsia="SimHei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Badan SAR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Nasional(BASARNAS). Erlangga. Jakarta.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Nasution, Siti Khadijah. 2004. Meningkatkan Status Kesehatan Melalui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Pendidikan Kesehatan dan Penetapan Pola Hidup Sehat. FKM-USU, </w:t>
      </w:r>
      <w:r>
        <w:rPr>
          <w:rFonts w:ascii="Times New Roman" w:hAnsi="Times New Roman" w:cs="Times New Roman"/>
          <w:sz w:val="24"/>
          <w:szCs w:val="24"/>
        </w:rPr>
        <w:tab/>
        <w:t>Medan.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 Soekidjo, 2003. Ilmu Kesehatan Masyarakat, Penerbit Rineka Cipta,</w:t>
      </w:r>
      <w:r>
        <w:rPr>
          <w:rFonts w:ascii="Times New Roman" w:hAnsi="Times New Roman" w:cs="Times New Roman"/>
          <w:sz w:val="24"/>
          <w:szCs w:val="24"/>
        </w:rPr>
        <w:tab/>
        <w:t>Cetakan kedua, Jakarta.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Notoatmodjo. S, 2007, Promosi Kesehatan </w:t>
      </w:r>
      <w:r>
        <w:rPr>
          <w:rFonts w:ascii="Times New Roman" w:eastAsia="SimHei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Ilmu Perilaku, Penerbit Rineka CiptaJakarta. 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Notoatmodjo Soekidjo, 2012. Metodologi Penelitian Kesehatan, Penerbit Rineka </w:t>
      </w:r>
      <w:r>
        <w:rPr>
          <w:rFonts w:ascii="Times New Roman" w:hAnsi="Times New Roman" w:cs="Times New Roman"/>
          <w:sz w:val="24"/>
          <w:szCs w:val="24"/>
        </w:rPr>
        <w:tab/>
        <w:t>Cipta, Cetakan kedua, Jakarta.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O’Brien SF, 2006, Donor Research : The Foundation For a Healthy Blood Supply.Transfusion.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PMI Medan, 2009. Pelayanan Penyediaan Darah, Antara Fakta dan Kenyataan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  <w:t>Medan.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PMI Pusat, 2009. Kumpulan Peraturan Perundang-Undang Bidang </w:t>
      </w:r>
      <w:r>
        <w:rPr>
          <w:rFonts w:ascii="Times New Roman" w:hAnsi="Times New Roman" w:cs="Times New Roman"/>
          <w:sz w:val="24"/>
          <w:szCs w:val="24"/>
        </w:rPr>
        <w:tab/>
        <w:t xml:space="preserve">Kesehatan/Transfusi Darah dan Surat Keputusan Pengurus PMI Tentang </w:t>
      </w:r>
      <w:r>
        <w:rPr>
          <w:rFonts w:ascii="Times New Roman" w:hAnsi="Times New Roman" w:cs="Times New Roman"/>
          <w:sz w:val="24"/>
          <w:szCs w:val="24"/>
        </w:rPr>
        <w:tab/>
        <w:t>Transfusi Darah. Jakarta.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Prawira, Ingerani S, dan Winowatan, D., 2010. New Blood for The Wold,Internotional Sos Jurnal.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Rahmawati. B. 2005. Gambaran Pengetahuan, Sikap dan Motivasi Mengenai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Donor Darah pada Donor Darah Sukarela di unit Donor Darah, Maria Supriyanti Sinde, Tensis, Tahun 2013 Pontianak.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Trevor J. Cobain, 2004. Fresh Blood Product Manufacture, Issue, and Use : 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ChainofDiminishing Returns ? Transfusion Medicine Reviews, Vol 18, PP.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World Health Organization (WHO). Universal Acces to Safe Blood Transfusion.</w:t>
      </w:r>
      <w:r>
        <w:rPr>
          <w:rFonts w:ascii="Times New Roman" w:hAnsi="Times New Roman" w:cs="Times New Roman"/>
          <w:sz w:val="24"/>
          <w:szCs w:val="24"/>
        </w:rPr>
        <w:tab/>
        <w:t xml:space="preserve">Switzerland : WHO ; 2008.  p. 4. Diperoleh dari </w:t>
      </w:r>
      <w:hyperlink r:id="rId5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http://www.who.int</w:t>
        </w:r>
      </w:hyperlink>
      <w:r>
        <w:rPr>
          <w:rFonts w:ascii="Times New Roman" w:hAnsi="Times New Roman" w:cs="Times New Roman"/>
          <w:sz w:val="24"/>
          <w:szCs w:val="24"/>
        </w:rPr>
        <w:t>. Diakses : 5 juni 2013. D</w:t>
      </w:r>
    </w:p>
    <w:p w:rsidR="00972AA8" w:rsidRDefault="00972AA8" w:rsidP="00972AA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WHO, Depkes </w:t>
      </w:r>
      <w:r>
        <w:rPr>
          <w:rFonts w:ascii="Times New Roman" w:eastAsia="SimHei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UMFPA. 2008. Buku Pedoman Pelayanan Transfusi Darah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Modul X.Jakarta.</w:t>
      </w:r>
    </w:p>
    <w:p w:rsidR="00972AA8" w:rsidRDefault="00972AA8" w:rsidP="00972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B7714" w:rsidRDefault="00972AA8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BB"/>
    <w:rsid w:val="004E6A7C"/>
    <w:rsid w:val="00972AA8"/>
    <w:rsid w:val="00BF6E34"/>
    <w:rsid w:val="00C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DF99424-AF9E-4FB8-AF33-945D89C5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AA8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2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ho.int" TargetMode="External"/><Relationship Id="rId4" Type="http://schemas.openxmlformats.org/officeDocument/2006/relationships/hyperlink" Target="mailto:Redaksi@neraca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2021-11-30T07:44:00Z</dcterms:created>
  <dcterms:modified xsi:type="dcterms:W3CDTF">2021-11-30T07:45:00Z</dcterms:modified>
</cp:coreProperties>
</file>